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6E8A1" w14:textId="77777777" w:rsidR="005456E1" w:rsidRDefault="00DA0A44">
      <w:pPr>
        <w:spacing w:line="48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智利数据分析能力建设研修班</w:t>
      </w:r>
    </w:p>
    <w:p w14:paraId="0D17CAC0" w14:textId="77777777" w:rsidR="005456E1" w:rsidRDefault="00DA0A44">
      <w:pPr>
        <w:spacing w:line="48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项目简介表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2158"/>
        <w:gridCol w:w="2557"/>
        <w:gridCol w:w="1559"/>
        <w:gridCol w:w="1836"/>
      </w:tblGrid>
      <w:tr w:rsidR="005456E1" w14:paraId="2A96735A" w14:textId="77777777">
        <w:trPr>
          <w:trHeight w:hRule="exact" w:val="454"/>
          <w:jc w:val="center"/>
        </w:trPr>
        <w:tc>
          <w:tcPr>
            <w:tcW w:w="1646" w:type="dxa"/>
            <w:vAlign w:val="center"/>
          </w:tcPr>
          <w:p w14:paraId="2327BC6D" w14:textId="77777777" w:rsidR="005456E1" w:rsidRDefault="00DA0A44">
            <w:pPr>
              <w:jc w:val="center"/>
            </w:pPr>
            <w:r>
              <w:t>项目全称</w:t>
            </w:r>
            <w:r>
              <w:t xml:space="preserve"> </w:t>
            </w:r>
          </w:p>
        </w:tc>
        <w:tc>
          <w:tcPr>
            <w:tcW w:w="8110" w:type="dxa"/>
            <w:gridSpan w:val="4"/>
            <w:vAlign w:val="center"/>
          </w:tcPr>
          <w:p w14:paraId="6C1B572E" w14:textId="77777777" w:rsidR="005456E1" w:rsidRDefault="00DA0A44">
            <w:pPr>
              <w:jc w:val="center"/>
            </w:pPr>
            <w:r>
              <w:rPr>
                <w:rFonts w:hint="eastAsia"/>
              </w:rPr>
              <w:t>智利数据分析能力建设研修班</w:t>
            </w:r>
          </w:p>
        </w:tc>
      </w:tr>
      <w:tr w:rsidR="005456E1" w14:paraId="0D1FFDCA" w14:textId="77777777">
        <w:trPr>
          <w:trHeight w:hRule="exact" w:val="454"/>
          <w:jc w:val="center"/>
        </w:trPr>
        <w:tc>
          <w:tcPr>
            <w:tcW w:w="1646" w:type="dxa"/>
            <w:vAlign w:val="center"/>
          </w:tcPr>
          <w:p w14:paraId="299C6316" w14:textId="77777777" w:rsidR="005456E1" w:rsidRDefault="00DA0A44">
            <w:pPr>
              <w:jc w:val="center"/>
            </w:pPr>
            <w:r>
              <w:t>承办单位</w:t>
            </w:r>
          </w:p>
        </w:tc>
        <w:tc>
          <w:tcPr>
            <w:tcW w:w="8110" w:type="dxa"/>
            <w:gridSpan w:val="4"/>
            <w:vAlign w:val="center"/>
          </w:tcPr>
          <w:p w14:paraId="492BA1A5" w14:textId="77777777" w:rsidR="005456E1" w:rsidRDefault="00DA0A44">
            <w:pPr>
              <w:jc w:val="center"/>
            </w:pPr>
            <w:r>
              <w:t>商务部国际商务官员研修学院</w:t>
            </w:r>
          </w:p>
        </w:tc>
      </w:tr>
      <w:tr w:rsidR="005456E1" w14:paraId="1498CBE0" w14:textId="77777777">
        <w:trPr>
          <w:trHeight w:hRule="exact" w:val="454"/>
          <w:jc w:val="center"/>
        </w:trPr>
        <w:tc>
          <w:tcPr>
            <w:tcW w:w="1646" w:type="dxa"/>
            <w:vAlign w:val="center"/>
          </w:tcPr>
          <w:p w14:paraId="437952BE" w14:textId="77777777" w:rsidR="005456E1" w:rsidRDefault="00DA0A44">
            <w:pPr>
              <w:jc w:val="center"/>
            </w:pPr>
            <w:r>
              <w:t>举办时间</w:t>
            </w:r>
          </w:p>
        </w:tc>
        <w:tc>
          <w:tcPr>
            <w:tcW w:w="4715" w:type="dxa"/>
            <w:gridSpan w:val="2"/>
            <w:vAlign w:val="center"/>
          </w:tcPr>
          <w:p w14:paraId="5A242184" w14:textId="77777777" w:rsidR="005456E1" w:rsidRDefault="00DA0A44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天）</w:t>
            </w:r>
          </w:p>
        </w:tc>
        <w:tc>
          <w:tcPr>
            <w:tcW w:w="1559" w:type="dxa"/>
            <w:vAlign w:val="center"/>
          </w:tcPr>
          <w:p w14:paraId="40C686D2" w14:textId="77777777" w:rsidR="005456E1" w:rsidRDefault="00DA0A44">
            <w:pPr>
              <w:jc w:val="center"/>
            </w:pPr>
            <w:r>
              <w:t>授课语言</w:t>
            </w:r>
          </w:p>
        </w:tc>
        <w:tc>
          <w:tcPr>
            <w:tcW w:w="1836" w:type="dxa"/>
            <w:vAlign w:val="center"/>
          </w:tcPr>
          <w:p w14:paraId="2078D291" w14:textId="77777777" w:rsidR="005456E1" w:rsidRDefault="00DA0A44">
            <w:pPr>
              <w:jc w:val="center"/>
            </w:pPr>
            <w:r>
              <w:t>西语</w:t>
            </w:r>
          </w:p>
        </w:tc>
      </w:tr>
      <w:tr w:rsidR="005456E1" w14:paraId="6A58F822" w14:textId="77777777">
        <w:trPr>
          <w:trHeight w:hRule="exact" w:val="454"/>
          <w:jc w:val="center"/>
        </w:trPr>
        <w:tc>
          <w:tcPr>
            <w:tcW w:w="1646" w:type="dxa"/>
            <w:vAlign w:val="center"/>
          </w:tcPr>
          <w:p w14:paraId="0BE9E467" w14:textId="77777777" w:rsidR="005456E1" w:rsidRDefault="00DA0A44">
            <w:pPr>
              <w:jc w:val="center"/>
            </w:pPr>
            <w:r>
              <w:t>邀请范围</w:t>
            </w:r>
          </w:p>
        </w:tc>
        <w:tc>
          <w:tcPr>
            <w:tcW w:w="8110" w:type="dxa"/>
            <w:gridSpan w:val="4"/>
            <w:vAlign w:val="center"/>
          </w:tcPr>
          <w:p w14:paraId="41982C9A" w14:textId="77777777" w:rsidR="005456E1" w:rsidRDefault="00DA0A44">
            <w:pPr>
              <w:jc w:val="center"/>
            </w:pPr>
            <w:bookmarkStart w:id="0" w:name="_Hlk126243639"/>
            <w:r>
              <w:rPr>
                <w:rFonts w:hint="eastAsia"/>
              </w:rPr>
              <w:t>智利相关部门官员（司处级）</w:t>
            </w:r>
            <w:bookmarkEnd w:id="0"/>
          </w:p>
        </w:tc>
      </w:tr>
      <w:tr w:rsidR="005456E1" w14:paraId="62451CB0" w14:textId="77777777">
        <w:trPr>
          <w:trHeight w:hRule="exact" w:val="454"/>
          <w:jc w:val="center"/>
        </w:trPr>
        <w:tc>
          <w:tcPr>
            <w:tcW w:w="1646" w:type="dxa"/>
            <w:vAlign w:val="center"/>
          </w:tcPr>
          <w:p w14:paraId="11520D0E" w14:textId="77777777" w:rsidR="005456E1" w:rsidRDefault="00DA0A44">
            <w:pPr>
              <w:jc w:val="center"/>
            </w:pPr>
            <w:r>
              <w:t>计划人数</w:t>
            </w:r>
          </w:p>
        </w:tc>
        <w:tc>
          <w:tcPr>
            <w:tcW w:w="8110" w:type="dxa"/>
            <w:gridSpan w:val="4"/>
            <w:vAlign w:val="center"/>
          </w:tcPr>
          <w:p w14:paraId="622BA11D" w14:textId="77777777" w:rsidR="005456E1" w:rsidRDefault="00DA0A44">
            <w:pPr>
              <w:jc w:val="center"/>
            </w:pPr>
            <w:r>
              <w:t>共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t>人</w:t>
            </w:r>
          </w:p>
        </w:tc>
      </w:tr>
      <w:tr w:rsidR="005456E1" w14:paraId="7AA9E132" w14:textId="77777777">
        <w:trPr>
          <w:trHeight w:hRule="exact" w:val="454"/>
          <w:jc w:val="center"/>
        </w:trPr>
        <w:tc>
          <w:tcPr>
            <w:tcW w:w="1646" w:type="dxa"/>
            <w:vMerge w:val="restart"/>
            <w:vAlign w:val="center"/>
          </w:tcPr>
          <w:p w14:paraId="643FBEDF" w14:textId="77777777" w:rsidR="005456E1" w:rsidRDefault="00DA0A44">
            <w:pPr>
              <w:jc w:val="center"/>
            </w:pPr>
            <w:r>
              <w:t>学员要求</w:t>
            </w:r>
          </w:p>
        </w:tc>
        <w:tc>
          <w:tcPr>
            <w:tcW w:w="2158" w:type="dxa"/>
            <w:vAlign w:val="center"/>
          </w:tcPr>
          <w:p w14:paraId="28B2D95E" w14:textId="77777777" w:rsidR="005456E1" w:rsidRDefault="00DA0A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年龄要求</w:t>
            </w:r>
          </w:p>
        </w:tc>
        <w:tc>
          <w:tcPr>
            <w:tcW w:w="5952" w:type="dxa"/>
            <w:gridSpan w:val="3"/>
            <w:vAlign w:val="center"/>
          </w:tcPr>
          <w:p w14:paraId="337BCD02" w14:textId="77777777" w:rsidR="005456E1" w:rsidRDefault="00DA0A44">
            <w:r>
              <w:rPr>
                <w:rFonts w:hint="eastAsia"/>
              </w:rPr>
              <w:t>司局级人员年龄不超过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岁；处级人员不超过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岁</w:t>
            </w:r>
          </w:p>
        </w:tc>
      </w:tr>
      <w:tr w:rsidR="005456E1" w14:paraId="4388A85D" w14:textId="77777777">
        <w:trPr>
          <w:trHeight w:val="1800"/>
          <w:jc w:val="center"/>
        </w:trPr>
        <w:tc>
          <w:tcPr>
            <w:tcW w:w="1646" w:type="dxa"/>
            <w:vMerge/>
            <w:vAlign w:val="center"/>
          </w:tcPr>
          <w:p w14:paraId="2FB777AC" w14:textId="77777777" w:rsidR="005456E1" w:rsidRDefault="005456E1">
            <w:pPr>
              <w:jc w:val="center"/>
            </w:pPr>
          </w:p>
        </w:tc>
        <w:tc>
          <w:tcPr>
            <w:tcW w:w="2158" w:type="dxa"/>
            <w:vAlign w:val="center"/>
          </w:tcPr>
          <w:p w14:paraId="18C76D96" w14:textId="77777777" w:rsidR="005456E1" w:rsidRDefault="00DA0A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身体健康</w:t>
            </w:r>
          </w:p>
          <w:p w14:paraId="23C279DC" w14:textId="77777777" w:rsidR="005456E1" w:rsidRDefault="00DA0A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状况要求</w:t>
            </w:r>
          </w:p>
        </w:tc>
        <w:tc>
          <w:tcPr>
            <w:tcW w:w="5952" w:type="dxa"/>
            <w:gridSpan w:val="3"/>
            <w:vAlign w:val="center"/>
          </w:tcPr>
          <w:p w14:paraId="29BB3BFC" w14:textId="77777777" w:rsidR="005456E1" w:rsidRDefault="00DA0A44">
            <w:r>
              <w:rPr>
                <w:rFonts w:hint="eastAsia"/>
              </w:rPr>
              <w:t>身体健康，并提供当地公立医院出具的健康证明或体检表，无中国法律法规禁止入境的疾病，无严重高血压、心脑血管疾病、糖尿病等其他严重慢性疾病、精神性疾病或者有可能对公共卫生造成重大危害的传染病，非重大手术后恢复期及急性病发作期，非肢体严重残疾，非孕期</w:t>
            </w:r>
          </w:p>
        </w:tc>
      </w:tr>
      <w:tr w:rsidR="005456E1" w14:paraId="30041657" w14:textId="77777777">
        <w:trPr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14:paraId="63C1A7F1" w14:textId="77777777" w:rsidR="005456E1" w:rsidRDefault="005456E1">
            <w:pPr>
              <w:jc w:val="center"/>
            </w:pPr>
          </w:p>
        </w:tc>
        <w:tc>
          <w:tcPr>
            <w:tcW w:w="2158" w:type="dxa"/>
            <w:vAlign w:val="center"/>
          </w:tcPr>
          <w:p w14:paraId="6BB3C26D" w14:textId="77777777" w:rsidR="005456E1" w:rsidRDefault="00DA0A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授课语言要求</w:t>
            </w:r>
          </w:p>
        </w:tc>
        <w:tc>
          <w:tcPr>
            <w:tcW w:w="5952" w:type="dxa"/>
            <w:gridSpan w:val="3"/>
            <w:vAlign w:val="center"/>
          </w:tcPr>
          <w:p w14:paraId="6BACF602" w14:textId="77777777" w:rsidR="005456E1" w:rsidRDefault="00DA0A44">
            <w:pPr>
              <w:jc w:val="center"/>
            </w:pPr>
            <w:r>
              <w:rPr>
                <w:rFonts w:hint="eastAsia"/>
              </w:rPr>
              <w:t>西语听、说、读、写能力满足授课要求</w:t>
            </w:r>
          </w:p>
        </w:tc>
      </w:tr>
      <w:tr w:rsidR="005456E1" w14:paraId="435FED82" w14:textId="77777777">
        <w:trPr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14:paraId="29259170" w14:textId="77777777" w:rsidR="005456E1" w:rsidRDefault="005456E1">
            <w:pPr>
              <w:jc w:val="center"/>
            </w:pPr>
          </w:p>
        </w:tc>
        <w:tc>
          <w:tcPr>
            <w:tcW w:w="2158" w:type="dxa"/>
            <w:vAlign w:val="center"/>
          </w:tcPr>
          <w:p w14:paraId="785EAD5F" w14:textId="77777777" w:rsidR="005456E1" w:rsidRDefault="00DA0A44">
            <w:pPr>
              <w:jc w:val="center"/>
            </w:pPr>
            <w:r>
              <w:t>其</w:t>
            </w:r>
            <w:r>
              <w:t xml:space="preserve"> </w:t>
            </w:r>
            <w:r>
              <w:t>它</w:t>
            </w:r>
          </w:p>
        </w:tc>
        <w:tc>
          <w:tcPr>
            <w:tcW w:w="5952" w:type="dxa"/>
            <w:gridSpan w:val="3"/>
            <w:vAlign w:val="center"/>
          </w:tcPr>
          <w:p w14:paraId="3517F2DD" w14:textId="77777777" w:rsidR="005456E1" w:rsidRDefault="00DA0A44">
            <w:pPr>
              <w:jc w:val="center"/>
            </w:pPr>
            <w:r>
              <w:rPr>
                <w:kern w:val="0"/>
                <w:szCs w:val="21"/>
              </w:rPr>
              <w:t>严禁携带配偶或亲友来华</w:t>
            </w:r>
          </w:p>
        </w:tc>
      </w:tr>
      <w:tr w:rsidR="005456E1" w14:paraId="465F718A" w14:textId="77777777">
        <w:trPr>
          <w:trHeight w:hRule="exact" w:val="713"/>
          <w:jc w:val="center"/>
        </w:trPr>
        <w:tc>
          <w:tcPr>
            <w:tcW w:w="1646" w:type="dxa"/>
            <w:vAlign w:val="center"/>
          </w:tcPr>
          <w:p w14:paraId="57BD4BED" w14:textId="77777777" w:rsidR="005456E1" w:rsidRDefault="00DA0A44">
            <w:pPr>
              <w:jc w:val="center"/>
            </w:pPr>
            <w:r>
              <w:t>举办地点</w:t>
            </w:r>
          </w:p>
        </w:tc>
        <w:tc>
          <w:tcPr>
            <w:tcW w:w="2158" w:type="dxa"/>
            <w:vAlign w:val="center"/>
          </w:tcPr>
          <w:p w14:paraId="68131A52" w14:textId="77777777" w:rsidR="005456E1" w:rsidRDefault="00DA0A44">
            <w:pPr>
              <w:jc w:val="center"/>
            </w:pPr>
            <w:r>
              <w:t>北京</w:t>
            </w:r>
          </w:p>
        </w:tc>
        <w:tc>
          <w:tcPr>
            <w:tcW w:w="2557" w:type="dxa"/>
            <w:vAlign w:val="center"/>
          </w:tcPr>
          <w:p w14:paraId="041C8AE5" w14:textId="77777777" w:rsidR="005456E1" w:rsidRDefault="00DA0A44">
            <w:pPr>
              <w:jc w:val="center"/>
            </w:pPr>
            <w:r>
              <w:t>举办地天气状况</w:t>
            </w:r>
          </w:p>
        </w:tc>
        <w:tc>
          <w:tcPr>
            <w:tcW w:w="3395" w:type="dxa"/>
            <w:gridSpan w:val="2"/>
            <w:vAlign w:val="center"/>
          </w:tcPr>
          <w:p w14:paraId="22E1F5DC" w14:textId="77777777" w:rsidR="005456E1" w:rsidRDefault="00DA0A44">
            <w:pPr>
              <w:jc w:val="left"/>
            </w:pPr>
            <w:r>
              <w:rPr>
                <w:rFonts w:hint="eastAsia"/>
              </w:rPr>
              <w:t>北京十一月平均气温</w:t>
            </w:r>
            <w:r>
              <w:rPr>
                <w:rFonts w:hint="eastAsia"/>
              </w:rPr>
              <w:t>1-13</w:t>
            </w:r>
            <w:r>
              <w:rPr>
                <w:rFonts w:hint="eastAsia"/>
              </w:rPr>
              <w:t>℃</w:t>
            </w:r>
          </w:p>
          <w:p w14:paraId="03560536" w14:textId="77777777" w:rsidR="005456E1" w:rsidRDefault="00DA0A44">
            <w:pPr>
              <w:jc w:val="left"/>
            </w:pPr>
            <w:r>
              <w:rPr>
                <w:rFonts w:hint="eastAsia"/>
              </w:rPr>
              <w:t>北京十二月平均气温</w:t>
            </w:r>
            <w:r>
              <w:rPr>
                <w:rFonts w:hint="eastAsia"/>
              </w:rPr>
              <w:t>-6</w:t>
            </w:r>
            <w:r>
              <w:rPr>
                <w:rFonts w:hint="eastAsia"/>
              </w:rPr>
              <w:t>℃至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</w:t>
            </w:r>
          </w:p>
          <w:p w14:paraId="33EDD9C0" w14:textId="77777777" w:rsidR="005456E1" w:rsidRDefault="005456E1">
            <w:pPr>
              <w:jc w:val="left"/>
            </w:pPr>
          </w:p>
        </w:tc>
      </w:tr>
      <w:tr w:rsidR="005456E1" w14:paraId="2A295A76" w14:textId="77777777">
        <w:trPr>
          <w:trHeight w:hRule="exact" w:val="514"/>
          <w:jc w:val="center"/>
        </w:trPr>
        <w:tc>
          <w:tcPr>
            <w:tcW w:w="1646" w:type="dxa"/>
            <w:vAlign w:val="center"/>
          </w:tcPr>
          <w:p w14:paraId="69D94693" w14:textId="77777777" w:rsidR="005456E1" w:rsidRDefault="00DA0A44">
            <w:pPr>
              <w:jc w:val="center"/>
            </w:pPr>
            <w:r>
              <w:t>参观考察城市</w:t>
            </w:r>
          </w:p>
        </w:tc>
        <w:tc>
          <w:tcPr>
            <w:tcW w:w="2158" w:type="dxa"/>
            <w:vAlign w:val="center"/>
          </w:tcPr>
          <w:p w14:paraId="09C8900C" w14:textId="77777777" w:rsidR="005456E1" w:rsidRDefault="00DA0A44">
            <w:pPr>
              <w:jc w:val="center"/>
            </w:pPr>
            <w:r>
              <w:t>待定</w:t>
            </w:r>
          </w:p>
        </w:tc>
        <w:tc>
          <w:tcPr>
            <w:tcW w:w="2557" w:type="dxa"/>
            <w:vAlign w:val="center"/>
          </w:tcPr>
          <w:p w14:paraId="6033D4AA" w14:textId="77777777" w:rsidR="005456E1" w:rsidRDefault="00DA0A44">
            <w:pPr>
              <w:jc w:val="center"/>
            </w:pPr>
            <w:r>
              <w:t>考察地天气状况</w:t>
            </w:r>
          </w:p>
        </w:tc>
        <w:tc>
          <w:tcPr>
            <w:tcW w:w="3395" w:type="dxa"/>
            <w:gridSpan w:val="2"/>
            <w:vAlign w:val="center"/>
          </w:tcPr>
          <w:p w14:paraId="142794CF" w14:textId="77777777" w:rsidR="005456E1" w:rsidRDefault="00DA0A44">
            <w:pPr>
              <w:jc w:val="center"/>
              <w:rPr>
                <w:szCs w:val="21"/>
              </w:rPr>
            </w:pPr>
            <w:r>
              <w:t>/</w:t>
            </w:r>
          </w:p>
        </w:tc>
      </w:tr>
      <w:tr w:rsidR="005456E1" w14:paraId="22C54070" w14:textId="77777777">
        <w:trPr>
          <w:trHeight w:val="402"/>
          <w:jc w:val="center"/>
        </w:trPr>
        <w:tc>
          <w:tcPr>
            <w:tcW w:w="1646" w:type="dxa"/>
            <w:vAlign w:val="center"/>
          </w:tcPr>
          <w:p w14:paraId="1F93B7A7" w14:textId="77777777" w:rsidR="005456E1" w:rsidRDefault="00DA0A44">
            <w:pPr>
              <w:jc w:val="center"/>
            </w:pPr>
            <w:r>
              <w:t>备注</w:t>
            </w:r>
          </w:p>
        </w:tc>
        <w:tc>
          <w:tcPr>
            <w:tcW w:w="8110" w:type="dxa"/>
            <w:gridSpan w:val="4"/>
            <w:vAlign w:val="center"/>
          </w:tcPr>
          <w:p w14:paraId="2523BAA6" w14:textId="77777777" w:rsidR="005456E1" w:rsidRDefault="00DA0A44">
            <w:pPr>
              <w:jc w:val="center"/>
            </w:pPr>
            <w:r>
              <w:t>/</w:t>
            </w:r>
          </w:p>
        </w:tc>
      </w:tr>
      <w:tr w:rsidR="005456E1" w14:paraId="24A1079B" w14:textId="77777777">
        <w:trPr>
          <w:trHeight w:hRule="exact" w:val="454"/>
          <w:jc w:val="center"/>
        </w:trPr>
        <w:tc>
          <w:tcPr>
            <w:tcW w:w="1646" w:type="dxa"/>
            <w:vMerge w:val="restart"/>
            <w:vAlign w:val="center"/>
          </w:tcPr>
          <w:p w14:paraId="0069C6F7" w14:textId="77777777" w:rsidR="005456E1" w:rsidRDefault="00DA0A44">
            <w:pPr>
              <w:jc w:val="center"/>
            </w:pPr>
            <w:r>
              <w:t>承办单位联系方式</w:t>
            </w:r>
          </w:p>
        </w:tc>
        <w:tc>
          <w:tcPr>
            <w:tcW w:w="2158" w:type="dxa"/>
            <w:vAlign w:val="center"/>
          </w:tcPr>
          <w:p w14:paraId="640B7B60" w14:textId="77777777" w:rsidR="005456E1" w:rsidRDefault="00DA0A44">
            <w:pPr>
              <w:jc w:val="center"/>
            </w:pPr>
            <w:r>
              <w:t>项目联系人</w:t>
            </w:r>
          </w:p>
        </w:tc>
        <w:tc>
          <w:tcPr>
            <w:tcW w:w="5952" w:type="dxa"/>
            <w:gridSpan w:val="3"/>
            <w:vAlign w:val="center"/>
          </w:tcPr>
          <w:p w14:paraId="3231F7A1" w14:textId="77777777" w:rsidR="005456E1" w:rsidRDefault="00DA0A44">
            <w:pPr>
              <w:jc w:val="center"/>
            </w:pPr>
            <w:r>
              <w:rPr>
                <w:rFonts w:hint="eastAsia"/>
              </w:rPr>
              <w:t>郑铭远</w:t>
            </w:r>
          </w:p>
        </w:tc>
      </w:tr>
      <w:tr w:rsidR="005456E1" w14:paraId="49C566E3" w14:textId="77777777">
        <w:trPr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14:paraId="309C17D3" w14:textId="77777777" w:rsidR="005456E1" w:rsidRDefault="005456E1">
            <w:pPr>
              <w:jc w:val="center"/>
            </w:pPr>
          </w:p>
        </w:tc>
        <w:tc>
          <w:tcPr>
            <w:tcW w:w="2158" w:type="dxa"/>
            <w:vAlign w:val="center"/>
          </w:tcPr>
          <w:p w14:paraId="2F16FEB1" w14:textId="77777777" w:rsidR="005456E1" w:rsidRDefault="00DA0A44">
            <w:pPr>
              <w:jc w:val="center"/>
            </w:pPr>
            <w:r>
              <w:t>办公电话</w:t>
            </w:r>
          </w:p>
        </w:tc>
        <w:tc>
          <w:tcPr>
            <w:tcW w:w="5952" w:type="dxa"/>
            <w:gridSpan w:val="3"/>
            <w:vAlign w:val="center"/>
          </w:tcPr>
          <w:p w14:paraId="56ECBBFE" w14:textId="77777777" w:rsidR="005456E1" w:rsidRDefault="00DA0A44">
            <w:pPr>
              <w:jc w:val="center"/>
            </w:pPr>
            <w:r>
              <w:t>0086-10-69759898-6835</w:t>
            </w:r>
          </w:p>
        </w:tc>
      </w:tr>
      <w:tr w:rsidR="005456E1" w14:paraId="6B3F9DA7" w14:textId="77777777">
        <w:trPr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14:paraId="2F6E1E80" w14:textId="77777777" w:rsidR="005456E1" w:rsidRDefault="005456E1">
            <w:pPr>
              <w:jc w:val="center"/>
            </w:pPr>
          </w:p>
        </w:tc>
        <w:tc>
          <w:tcPr>
            <w:tcW w:w="2158" w:type="dxa"/>
            <w:vAlign w:val="center"/>
          </w:tcPr>
          <w:p w14:paraId="3FFD786D" w14:textId="77777777" w:rsidR="005456E1" w:rsidRDefault="00DA0A44">
            <w:pPr>
              <w:jc w:val="center"/>
            </w:pPr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5952" w:type="dxa"/>
            <w:gridSpan w:val="3"/>
            <w:vAlign w:val="center"/>
          </w:tcPr>
          <w:p w14:paraId="085DA1D8" w14:textId="77777777" w:rsidR="005456E1" w:rsidRDefault="00DA0A44">
            <w:pPr>
              <w:jc w:val="center"/>
            </w:pPr>
            <w:r>
              <w:t>0086-15811092551</w:t>
            </w:r>
          </w:p>
        </w:tc>
      </w:tr>
      <w:tr w:rsidR="005456E1" w14:paraId="3326FF7D" w14:textId="77777777">
        <w:trPr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14:paraId="7DAD1AD5" w14:textId="77777777" w:rsidR="005456E1" w:rsidRDefault="005456E1">
            <w:pPr>
              <w:jc w:val="center"/>
            </w:pPr>
          </w:p>
        </w:tc>
        <w:tc>
          <w:tcPr>
            <w:tcW w:w="2158" w:type="dxa"/>
            <w:vAlign w:val="center"/>
          </w:tcPr>
          <w:p w14:paraId="21737C8D" w14:textId="77777777" w:rsidR="005456E1" w:rsidRDefault="00DA0A44">
            <w:pPr>
              <w:jc w:val="center"/>
            </w:pPr>
            <w:r>
              <w:t>传</w:t>
            </w:r>
            <w:r>
              <w:t xml:space="preserve">    </w:t>
            </w:r>
            <w:r>
              <w:t>真</w:t>
            </w:r>
          </w:p>
        </w:tc>
        <w:tc>
          <w:tcPr>
            <w:tcW w:w="5952" w:type="dxa"/>
            <w:gridSpan w:val="3"/>
            <w:vAlign w:val="center"/>
          </w:tcPr>
          <w:p w14:paraId="3DF7D3EC" w14:textId="77777777" w:rsidR="005456E1" w:rsidRDefault="00DA0A44">
            <w:pPr>
              <w:jc w:val="center"/>
            </w:pPr>
            <w:r>
              <w:t>0086-10-80127881</w:t>
            </w:r>
          </w:p>
        </w:tc>
      </w:tr>
      <w:tr w:rsidR="005456E1" w14:paraId="46BF229F" w14:textId="77777777">
        <w:trPr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14:paraId="425127D0" w14:textId="77777777" w:rsidR="005456E1" w:rsidRDefault="005456E1">
            <w:pPr>
              <w:jc w:val="center"/>
            </w:pPr>
          </w:p>
        </w:tc>
        <w:tc>
          <w:tcPr>
            <w:tcW w:w="2158" w:type="dxa"/>
            <w:vAlign w:val="center"/>
          </w:tcPr>
          <w:p w14:paraId="061EC33A" w14:textId="77777777" w:rsidR="005456E1" w:rsidRDefault="00DA0A44">
            <w:pPr>
              <w:jc w:val="center"/>
            </w:pPr>
            <w:r>
              <w:t>E-mail</w:t>
            </w:r>
          </w:p>
        </w:tc>
        <w:tc>
          <w:tcPr>
            <w:tcW w:w="5952" w:type="dxa"/>
            <w:gridSpan w:val="3"/>
            <w:vAlign w:val="center"/>
          </w:tcPr>
          <w:p w14:paraId="5AFE8F32" w14:textId="77777777" w:rsidR="005456E1" w:rsidRDefault="00DA0A44">
            <w:pPr>
              <w:jc w:val="center"/>
            </w:pPr>
            <w:r>
              <w:t>zxyc@china-aibo.cn</w:t>
            </w:r>
          </w:p>
        </w:tc>
      </w:tr>
      <w:tr w:rsidR="005456E1" w14:paraId="2C86D601" w14:textId="77777777">
        <w:trPr>
          <w:trHeight w:hRule="exact" w:val="454"/>
          <w:jc w:val="center"/>
        </w:trPr>
        <w:tc>
          <w:tcPr>
            <w:tcW w:w="1646" w:type="dxa"/>
            <w:vAlign w:val="center"/>
          </w:tcPr>
          <w:p w14:paraId="2D30A16C" w14:textId="77777777" w:rsidR="005456E1" w:rsidRDefault="005456E1">
            <w:pPr>
              <w:jc w:val="center"/>
              <w:rPr>
                <w:sz w:val="18"/>
              </w:rPr>
            </w:pPr>
          </w:p>
        </w:tc>
        <w:tc>
          <w:tcPr>
            <w:tcW w:w="2158" w:type="dxa"/>
            <w:vAlign w:val="center"/>
          </w:tcPr>
          <w:p w14:paraId="223E4C21" w14:textId="77777777" w:rsidR="005456E1" w:rsidRDefault="00DA0A4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址</w:t>
            </w:r>
          </w:p>
        </w:tc>
        <w:tc>
          <w:tcPr>
            <w:tcW w:w="5952" w:type="dxa"/>
            <w:gridSpan w:val="3"/>
            <w:vAlign w:val="center"/>
          </w:tcPr>
          <w:p w14:paraId="4B42DDCC" w14:textId="77777777" w:rsidR="005456E1" w:rsidRDefault="00DA0A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北京市昌平区</w:t>
            </w:r>
            <w:r>
              <w:rPr>
                <w:szCs w:val="21"/>
              </w:rPr>
              <w:t>爱博路商务部国际商务官员研修学院</w:t>
            </w:r>
          </w:p>
        </w:tc>
      </w:tr>
      <w:tr w:rsidR="005456E1" w14:paraId="6F931BBA" w14:textId="77777777">
        <w:trPr>
          <w:trHeight w:val="90"/>
          <w:jc w:val="center"/>
        </w:trPr>
        <w:tc>
          <w:tcPr>
            <w:tcW w:w="1646" w:type="dxa"/>
            <w:vAlign w:val="center"/>
          </w:tcPr>
          <w:p w14:paraId="787F413D" w14:textId="77777777" w:rsidR="005456E1" w:rsidRDefault="00DA0A44">
            <w:pPr>
              <w:jc w:val="center"/>
            </w:pPr>
            <w:r>
              <w:t>承办单位简介</w:t>
            </w:r>
          </w:p>
        </w:tc>
        <w:tc>
          <w:tcPr>
            <w:tcW w:w="8110" w:type="dxa"/>
            <w:gridSpan w:val="4"/>
          </w:tcPr>
          <w:p w14:paraId="04377068" w14:textId="77777777" w:rsidR="005456E1" w:rsidRDefault="00DA0A44">
            <w:pPr>
              <w:adjustRightInd w:val="0"/>
              <w:snapToGrid w:val="0"/>
              <w:spacing w:line="276" w:lineRule="auto"/>
              <w:ind w:firstLineChars="200" w:firstLine="420"/>
            </w:pPr>
            <w:r>
              <w:rPr>
                <w:rFonts w:hint="eastAsia"/>
              </w:rPr>
              <w:t>商务部国际商务官员研修学院（</w:t>
            </w:r>
            <w:r>
              <w:rPr>
                <w:rFonts w:hint="eastAsia"/>
              </w:rPr>
              <w:t>AIBO</w:t>
            </w:r>
            <w:r>
              <w:rPr>
                <w:rFonts w:hint="eastAsia"/>
              </w:rPr>
              <w:t>）是中华人民共和国商务部直属教育培训机构。</w:t>
            </w:r>
            <w:r>
              <w:rPr>
                <w:rFonts w:hint="eastAsia"/>
              </w:rPr>
              <w:t>AIBO</w:t>
            </w:r>
            <w:r>
              <w:rPr>
                <w:rFonts w:hint="eastAsia"/>
              </w:rPr>
              <w:t>成立于</w:t>
            </w:r>
            <w:r>
              <w:rPr>
                <w:rFonts w:hint="eastAsia"/>
              </w:rPr>
              <w:t>1980</w:t>
            </w:r>
            <w:r>
              <w:rPr>
                <w:rFonts w:hint="eastAsia"/>
              </w:rPr>
              <w:t>年，位于北京市昌平区，距北京首都国际机场约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公里；拥有为培训学员提供住宿、餐饮、培训、会议等服务，较为完备的基础设施。</w:t>
            </w:r>
          </w:p>
          <w:p w14:paraId="543D345D" w14:textId="77777777" w:rsidR="005456E1" w:rsidRDefault="00DA0A44">
            <w:pPr>
              <w:adjustRightInd w:val="0"/>
              <w:snapToGrid w:val="0"/>
              <w:spacing w:line="276" w:lineRule="auto"/>
              <w:ind w:firstLineChars="200" w:firstLine="420"/>
            </w:pPr>
            <w:r>
              <w:rPr>
                <w:rFonts w:hint="eastAsia"/>
              </w:rPr>
              <w:t>AIBO</w:t>
            </w:r>
            <w:r>
              <w:rPr>
                <w:rFonts w:hint="eastAsia"/>
              </w:rPr>
              <w:t>主要职责之一是开展以官员研修班为主的人力资源开发合作项目，是中国援外培训总基地，既开展来华培训，也开展线上培训和境外培训。</w:t>
            </w:r>
          </w:p>
          <w:p w14:paraId="3FB6C666" w14:textId="77777777" w:rsidR="005456E1" w:rsidRDefault="00DA0A44">
            <w:pPr>
              <w:adjustRightInd w:val="0"/>
              <w:snapToGrid w:val="0"/>
              <w:spacing w:line="276" w:lineRule="auto"/>
              <w:ind w:firstLineChars="200" w:firstLine="420"/>
            </w:pPr>
            <w:r>
              <w:rPr>
                <w:rFonts w:hint="eastAsia"/>
              </w:rPr>
              <w:t>AIBO</w:t>
            </w:r>
            <w:r>
              <w:rPr>
                <w:rFonts w:hint="eastAsia"/>
              </w:rPr>
              <w:t>依托商务部，同时与中国顶级智库、科研院所、高等院校保持密切合作，汇集大量中国顶尖专家学者为援外培训提供智力支持，在贸易和投资、国际经济合作、治国理政、</w:t>
            </w:r>
            <w:r>
              <w:rPr>
                <w:rFonts w:hint="eastAsia"/>
              </w:rPr>
              <w:t>公共管理等领域形成了一批高质量援外培训项目，取得优秀成果。</w:t>
            </w:r>
          </w:p>
          <w:p w14:paraId="6653EC43" w14:textId="77777777" w:rsidR="005456E1" w:rsidRDefault="00DA0A44">
            <w:pPr>
              <w:adjustRightInd w:val="0"/>
              <w:snapToGrid w:val="0"/>
              <w:spacing w:line="276" w:lineRule="auto"/>
              <w:ind w:firstLineChars="200" w:firstLine="420"/>
            </w:pPr>
            <w:r>
              <w:t>1998</w:t>
            </w:r>
            <w:r>
              <w:t>年以来，</w:t>
            </w:r>
            <w:r>
              <w:t>AIBO</w:t>
            </w:r>
            <w:r>
              <w:t>已成功举办</w:t>
            </w:r>
            <w:r>
              <w:t>2500</w:t>
            </w:r>
            <w:r>
              <w:t>期发展中国家官员研修班（其中</w:t>
            </w:r>
            <w:r>
              <w:t>137</w:t>
            </w:r>
            <w:r>
              <w:t>期部长级研讨会），为全球其他发展中国家培训人员</w:t>
            </w:r>
            <w:r>
              <w:t>7.5</w:t>
            </w:r>
            <w:r>
              <w:t>万多名。</w:t>
            </w:r>
          </w:p>
          <w:p w14:paraId="26315664" w14:textId="77777777" w:rsidR="005456E1" w:rsidRDefault="00DA0A44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lastRenderedPageBreak/>
              <w:t>AIBO</w:t>
            </w:r>
            <w:r>
              <w:rPr>
                <w:rFonts w:hint="eastAsia"/>
              </w:rPr>
              <w:t>将坚持以习近平新时代中国特色社会主义思想为指引，以人类命运共同体、正确义利观和真实亲诚、亲诚惠容等重要理念为战略引领和根本遵循，推动落实共建“一带一路”、全球发展倡议等重大倡议，通过分享中国经验和中国方案，持续助力广大发展中国家加快发展。</w:t>
            </w:r>
          </w:p>
        </w:tc>
      </w:tr>
      <w:tr w:rsidR="005456E1" w14:paraId="56FE2BB3" w14:textId="77777777">
        <w:trPr>
          <w:jc w:val="center"/>
        </w:trPr>
        <w:tc>
          <w:tcPr>
            <w:tcW w:w="1646" w:type="dxa"/>
            <w:vAlign w:val="center"/>
          </w:tcPr>
          <w:p w14:paraId="65C82076" w14:textId="77777777" w:rsidR="005456E1" w:rsidRDefault="00DA0A44">
            <w:pPr>
              <w:jc w:val="center"/>
            </w:pPr>
            <w:r>
              <w:rPr>
                <w:rFonts w:ascii="宋体" w:hAnsi="宋体" w:hint="eastAsia"/>
              </w:rPr>
              <w:lastRenderedPageBreak/>
              <w:t>项目介绍</w:t>
            </w:r>
          </w:p>
        </w:tc>
        <w:tc>
          <w:tcPr>
            <w:tcW w:w="8110" w:type="dxa"/>
            <w:gridSpan w:val="4"/>
          </w:tcPr>
          <w:p w14:paraId="500267B0" w14:textId="77777777" w:rsidR="005456E1" w:rsidRDefault="00DA0A44">
            <w:pPr>
              <w:spacing w:line="400" w:lineRule="exact"/>
              <w:ind w:firstLineChars="200" w:firstLine="422"/>
              <w:rPr>
                <w:rFonts w:ascii="宋体" w:hAnsi="宋体"/>
                <w:szCs w:val="21"/>
              </w:rPr>
            </w:pPr>
            <w:bookmarkStart w:id="1" w:name="_Hlk204084729"/>
            <w:r>
              <w:rPr>
                <w:rFonts w:ascii="宋体" w:hAnsi="宋体" w:hint="eastAsia"/>
                <w:b/>
                <w:bCs/>
                <w:szCs w:val="21"/>
              </w:rPr>
              <w:t>项目背景</w:t>
            </w:r>
            <w:r>
              <w:rPr>
                <w:rFonts w:ascii="宋体" w:hAnsi="宋体" w:hint="eastAsia"/>
                <w:szCs w:val="21"/>
              </w:rPr>
              <w:t>：</w:t>
            </w:r>
            <w:bookmarkStart w:id="2" w:name="_Hlk126148721"/>
            <w:bookmarkStart w:id="3" w:name="_Hlk126243755"/>
            <w:r>
              <w:rPr>
                <w:rFonts w:ascii="宋体" w:hAnsi="宋体" w:hint="eastAsia"/>
                <w:szCs w:val="21"/>
              </w:rPr>
              <w:t>智利是第一个同中国建交的南美洲国家，两国关系发展顺利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双方高层交往频繁，在国际多边领域保持良好合作。中智经贸合作发展顺利。</w:t>
            </w:r>
          </w:p>
          <w:p w14:paraId="6D1188DB" w14:textId="77777777" w:rsidR="005456E1" w:rsidRDefault="00DA0A44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数据分析，作为信息时代的一项核心技能，其重要性在现代社会中日益凸显。无论是企业决策、业务优化，还是市场趋势预测、政府治理，数据分析都发挥着不可替代的作用。</w:t>
            </w:r>
          </w:p>
          <w:p w14:paraId="72259468" w14:textId="77777777" w:rsidR="005456E1" w:rsidRDefault="00DA0A44">
            <w:pPr>
              <w:spacing w:line="340" w:lineRule="exact"/>
              <w:ind w:firstLineChars="200" w:firstLine="422"/>
              <w:rPr>
                <w:szCs w:val="21"/>
              </w:rPr>
            </w:pPr>
            <w:r>
              <w:rPr>
                <w:b/>
                <w:bCs/>
                <w:szCs w:val="21"/>
              </w:rPr>
              <w:t>培训目的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研修班旨在搭建数据分析交流合作平台，分享中国数据分析发展经验，共同加强能力建设，培养数字人才，推进国家治理体系和治理能力现代化</w:t>
            </w:r>
            <w:r>
              <w:rPr>
                <w:rFonts w:hint="eastAsia"/>
                <w:szCs w:val="21"/>
                <w:lang w:val="es-ES"/>
              </w:rPr>
              <w:t>，推动务实合作不断拓展。</w:t>
            </w:r>
          </w:p>
          <w:p w14:paraId="0A19196B" w14:textId="77777777" w:rsidR="005456E1" w:rsidRDefault="00DA0A44">
            <w:pPr>
              <w:spacing w:line="400" w:lineRule="exact"/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培训内容</w:t>
            </w:r>
            <w:r>
              <w:rPr>
                <w:rFonts w:ascii="宋体" w:hAnsi="宋体" w:hint="eastAsia"/>
              </w:rPr>
              <w:t>：</w:t>
            </w:r>
            <w:bookmarkEnd w:id="2"/>
            <w:r>
              <w:rPr>
                <w:rFonts w:ascii="宋体" w:hAnsi="宋体" w:hint="eastAsia"/>
              </w:rPr>
              <w:t>研修班讲座主题将主要涉及中国国情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</w:rPr>
              <w:t>中国式现代化、中国领导人治国理政理念、</w:t>
            </w:r>
            <w:r>
              <w:rPr>
                <w:rFonts w:ascii="宋体" w:hAnsi="宋体" w:hint="eastAsia"/>
                <w:szCs w:val="21"/>
              </w:rPr>
              <w:t>“一带一路”倡议及落实举措、数据分析概念与方法理论、大数据行业发展现状、大数据与政府治理现代化、数据伦理与安全、数字经济背景下借助大数据与人工智能开展金融服务创新、人工智能时代的信息安全等内容。</w:t>
            </w:r>
          </w:p>
          <w:bookmarkEnd w:id="1"/>
          <w:p w14:paraId="41BDD8B3" w14:textId="77777777" w:rsidR="005456E1" w:rsidRDefault="00DA0A44">
            <w:pPr>
              <w:spacing w:line="276" w:lineRule="auto"/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培训方式</w:t>
            </w:r>
            <w:r>
              <w:rPr>
                <w:rFonts w:ascii="宋体" w:hAnsi="宋体" w:hint="eastAsia"/>
              </w:rPr>
              <w:t>：邀请</w:t>
            </w:r>
            <w:r>
              <w:rPr>
                <w:rFonts w:ascii="宋体" w:hAnsi="宋体" w:hint="eastAsia"/>
                <w:szCs w:val="21"/>
              </w:rPr>
              <w:t>中国</w:t>
            </w:r>
            <w:r>
              <w:rPr>
                <w:rFonts w:ascii="宋体" w:hAnsi="宋体" w:hint="eastAsia"/>
              </w:rPr>
              <w:t>相关领域专家分主题开展专题讲座；组织学员与专家间的研讨交流，以及学员间的研讨交流；组织学员在北京，以及</w:t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</w:rPr>
              <w:t>城市</w:t>
            </w:r>
            <w:r>
              <w:rPr>
                <w:rFonts w:ascii="宋体" w:hAnsi="宋体" w:hint="eastAsia"/>
                <w:szCs w:val="21"/>
              </w:rPr>
              <w:t>赴</w:t>
            </w:r>
            <w:r>
              <w:rPr>
                <w:rFonts w:ascii="宋体" w:hAnsi="宋体" w:hint="eastAsia"/>
              </w:rPr>
              <w:t>相关机构和企业实地考察交流。</w:t>
            </w:r>
          </w:p>
          <w:bookmarkEnd w:id="3"/>
          <w:p w14:paraId="0D5C9999" w14:textId="77777777" w:rsidR="005456E1" w:rsidRDefault="00DA0A44">
            <w:pPr>
              <w:spacing w:line="276" w:lineRule="auto"/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（以上为初步内容安排，可能根据实际情况调整，最终版本将于抵华后提供。）</w:t>
            </w:r>
          </w:p>
        </w:tc>
      </w:tr>
      <w:tr w:rsidR="005456E1" w14:paraId="32501C0C" w14:textId="77777777">
        <w:trPr>
          <w:trHeight w:val="2352"/>
          <w:jc w:val="center"/>
        </w:trPr>
        <w:tc>
          <w:tcPr>
            <w:tcW w:w="1646" w:type="dxa"/>
            <w:vAlign w:val="center"/>
          </w:tcPr>
          <w:p w14:paraId="5CB5CB08" w14:textId="77777777" w:rsidR="005456E1" w:rsidRDefault="00DA0A44">
            <w:pPr>
              <w:jc w:val="center"/>
            </w:pPr>
            <w:r>
              <w:rPr>
                <w:rFonts w:ascii="宋体" w:hAnsi="宋体" w:hint="eastAsia"/>
              </w:rPr>
              <w:t>注意事项</w:t>
            </w:r>
          </w:p>
        </w:tc>
        <w:tc>
          <w:tcPr>
            <w:tcW w:w="8110" w:type="dxa"/>
            <w:gridSpan w:val="4"/>
            <w:vAlign w:val="center"/>
          </w:tcPr>
          <w:p w14:paraId="39E02FC4" w14:textId="77777777" w:rsidR="005456E1" w:rsidRDefault="00DA0A44">
            <w:pPr>
              <w:adjustRightInd w:val="0"/>
              <w:snapToGrid w:val="0"/>
              <w:spacing w:line="400" w:lineRule="exact"/>
              <w:ind w:lef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/>
              </w:rPr>
              <w:t>请来华前准备好护照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中国签证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/>
              </w:rPr>
              <w:t>第三方中转国签证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/>
              </w:rPr>
              <w:t>如有需要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 xml:space="preserve">  </w:t>
            </w:r>
          </w:p>
          <w:p w14:paraId="260A9439" w14:textId="77777777" w:rsidR="005456E1" w:rsidRDefault="00DA0A44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如因特殊情况不能按时出发，或转机时出现航班延误，请及时联系中国大使馆经商处或项目联系人，告知最新抵京航班和时间，以便安排接机。</w:t>
            </w:r>
          </w:p>
          <w:p w14:paraId="04FB1E37" w14:textId="77777777" w:rsidR="005456E1" w:rsidRDefault="00DA0A44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/>
              </w:rPr>
              <w:t>原则上</w:t>
            </w:r>
            <w:r>
              <w:rPr>
                <w:rFonts w:ascii="宋体" w:hAnsi="宋体" w:hint="eastAsia"/>
              </w:rPr>
              <w:t>不允许个人更改来华机票，确有需要请联系中国大使馆经商处按程序办理改票手续。未经同意擅自更改机票，将向经商处通报情况，由此产生的费用及责任由个人承担。</w:t>
            </w:r>
          </w:p>
          <w:p w14:paraId="0A4F78FF" w14:textId="77777777" w:rsidR="005456E1" w:rsidRDefault="00DA0A44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航班落地提取行李之后，请在国际到达出口（或国内到达出口）耐心等待，工作人员会持写有名字的接机牌接机。如等待超过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分钟，可以与项目联系人电话沟通。</w:t>
            </w:r>
          </w:p>
          <w:p w14:paraId="737BB70D" w14:textId="77777777" w:rsidR="005456E1" w:rsidRDefault="00DA0A44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/>
              </w:rPr>
              <w:t>如遇托运行李丢失需</w:t>
            </w:r>
            <w:r>
              <w:rPr>
                <w:rFonts w:ascii="宋体" w:hAnsi="宋体"/>
              </w:rPr>
              <w:t>向航空公司登记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请先</w:t>
            </w:r>
            <w:r>
              <w:rPr>
                <w:rFonts w:ascii="宋体" w:hAnsi="宋体" w:hint="eastAsia"/>
              </w:rPr>
              <w:t>与</w:t>
            </w:r>
            <w:r>
              <w:rPr>
                <w:rFonts w:ascii="宋体" w:hAnsi="宋体"/>
              </w:rPr>
              <w:t>项目联系人电话沟通</w:t>
            </w:r>
            <w:r>
              <w:rPr>
                <w:rFonts w:ascii="宋体" w:hAnsi="宋体" w:hint="eastAsia"/>
              </w:rPr>
              <w:t>确认行李送达处</w:t>
            </w:r>
            <w:r>
              <w:rPr>
                <w:rFonts w:ascii="宋体" w:hAnsi="宋体"/>
              </w:rPr>
              <w:t>后</w:t>
            </w:r>
            <w:r>
              <w:rPr>
                <w:rFonts w:ascii="宋体" w:hAnsi="宋体" w:hint="eastAsia"/>
              </w:rPr>
              <w:t>再</w:t>
            </w:r>
            <w:r>
              <w:rPr>
                <w:rFonts w:ascii="宋体" w:hAnsi="宋体"/>
              </w:rPr>
              <w:t>填写登记表</w:t>
            </w:r>
            <w:r>
              <w:rPr>
                <w:rFonts w:ascii="宋体" w:hAnsi="宋体" w:hint="eastAsia"/>
              </w:rPr>
              <w:t>。</w:t>
            </w:r>
          </w:p>
          <w:p w14:paraId="61DAAD16" w14:textId="77777777" w:rsidR="005456E1" w:rsidRDefault="00DA0A44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/>
              </w:rPr>
              <w:t>着装要求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请关注研修班举办地</w:t>
            </w:r>
            <w:r>
              <w:rPr>
                <w:rFonts w:ascii="宋体" w:hAnsi="宋体" w:hint="eastAsia"/>
              </w:rPr>
              <w:t>天气情况，</w:t>
            </w:r>
            <w:r>
              <w:rPr>
                <w:rFonts w:ascii="宋体" w:hAnsi="宋体"/>
              </w:rPr>
              <w:t>携带相应衣物</w:t>
            </w:r>
            <w:r>
              <w:rPr>
                <w:rFonts w:ascii="宋体" w:hAnsi="宋体" w:hint="eastAsia"/>
              </w:rPr>
              <w:t>。研修班重要活动需着正装（民族服装也可）。</w:t>
            </w:r>
          </w:p>
        </w:tc>
      </w:tr>
    </w:tbl>
    <w:p w14:paraId="29A44F6C" w14:textId="77777777" w:rsidR="005456E1" w:rsidRDefault="005456E1">
      <w:pPr>
        <w:spacing w:line="500" w:lineRule="exact"/>
        <w:jc w:val="left"/>
        <w:rPr>
          <w:rFonts w:eastAsia="黑体"/>
          <w:b/>
          <w:sz w:val="36"/>
          <w:szCs w:val="36"/>
        </w:rPr>
      </w:pPr>
    </w:p>
    <w:p w14:paraId="7B80315E" w14:textId="77777777" w:rsidR="005456E1" w:rsidRDefault="00DA0A44">
      <w:pPr>
        <w:jc w:val="left"/>
        <w:rPr>
          <w:b/>
          <w:sz w:val="44"/>
          <w:lang w:val="fr-CA"/>
        </w:rPr>
      </w:pPr>
      <w:bookmarkStart w:id="4" w:name="_Hlk128420188"/>
      <w:r>
        <w:rPr>
          <w:b/>
          <w:sz w:val="44"/>
          <w:lang w:val="fr-CA"/>
        </w:rPr>
        <w:br w:type="page"/>
      </w:r>
    </w:p>
    <w:p w14:paraId="22284EEE" w14:textId="77777777" w:rsidR="005456E1" w:rsidRDefault="00DA0A44">
      <w:pPr>
        <w:spacing w:line="480" w:lineRule="exact"/>
        <w:jc w:val="center"/>
        <w:rPr>
          <w:b/>
          <w:bCs/>
          <w:sz w:val="44"/>
          <w:szCs w:val="44"/>
          <w:lang w:val="es-ES"/>
        </w:rPr>
      </w:pPr>
      <w:r>
        <w:rPr>
          <w:rFonts w:hint="eastAsia"/>
          <w:b/>
          <w:bCs/>
          <w:sz w:val="44"/>
          <w:szCs w:val="44"/>
          <w:lang w:val="es-ES"/>
        </w:rPr>
        <w:lastRenderedPageBreak/>
        <w:t>Seminario sobre el Desarrollo de la Capacidad de An</w:t>
      </w:r>
      <w:r>
        <w:rPr>
          <w:rFonts w:hint="eastAsia"/>
          <w:b/>
          <w:bCs/>
          <w:sz w:val="44"/>
          <w:szCs w:val="44"/>
          <w:lang w:val="es-ES"/>
        </w:rPr>
        <w:t>á</w:t>
      </w:r>
      <w:r>
        <w:rPr>
          <w:rFonts w:hint="eastAsia"/>
          <w:b/>
          <w:bCs/>
          <w:sz w:val="44"/>
          <w:szCs w:val="44"/>
          <w:lang w:val="es-ES"/>
        </w:rPr>
        <w:t>lisis de Datos para Chile</w:t>
      </w:r>
    </w:p>
    <w:p w14:paraId="00B37305" w14:textId="77777777" w:rsidR="005456E1" w:rsidRDefault="00DA0A44">
      <w:pPr>
        <w:spacing w:line="480" w:lineRule="exact"/>
        <w:jc w:val="center"/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Perfil de Proyecto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210"/>
        <w:gridCol w:w="526"/>
        <w:gridCol w:w="1955"/>
        <w:gridCol w:w="443"/>
        <w:gridCol w:w="1407"/>
        <w:gridCol w:w="1989"/>
      </w:tblGrid>
      <w:tr w:rsidR="005456E1" w14:paraId="53AD883A" w14:textId="77777777">
        <w:trPr>
          <w:trHeight w:hRule="exact" w:val="65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18DA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>Programa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3241" w14:textId="77777777" w:rsidR="005456E1" w:rsidRDefault="00DA0A44">
            <w:pPr>
              <w:jc w:val="center"/>
              <w:rPr>
                <w:kern w:val="0"/>
                <w:lang w:val="es-ES"/>
              </w:rPr>
            </w:pPr>
            <w:r>
              <w:rPr>
                <w:rFonts w:eastAsia="Times New Roman" w:hint="eastAsia"/>
                <w:lang w:val="es-ES"/>
              </w:rPr>
              <w:t xml:space="preserve">Seminario sobre el Desarrollo de la Capacidad de Análisis de </w:t>
            </w:r>
            <w:r>
              <w:rPr>
                <w:rFonts w:eastAsia="Times New Roman" w:hint="eastAsia"/>
                <w:lang w:val="es-ES"/>
              </w:rPr>
              <w:t>Datos para Chile</w:t>
            </w:r>
          </w:p>
        </w:tc>
      </w:tr>
      <w:tr w:rsidR="005456E1" w14:paraId="28A5D140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A22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Organizador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EF3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>Academia para Funcionarios Internacionales de Negocios, MOFCOM</w:t>
            </w:r>
          </w:p>
        </w:tc>
      </w:tr>
      <w:tr w:rsidR="005456E1" w14:paraId="2C1B8B0A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24A9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Fecha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5F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rFonts w:hint="eastAsia"/>
                <w:lang w:val="fr-CA"/>
              </w:rPr>
              <w:t>21 de noviembre al 4 de diciembre de 2025 (14 d</w:t>
            </w:r>
            <w:r>
              <w:rPr>
                <w:rFonts w:hint="eastAsia"/>
                <w:lang w:val="fr-CA"/>
              </w:rPr>
              <w:t>í</w:t>
            </w:r>
            <w:r>
              <w:rPr>
                <w:rFonts w:hint="eastAsia"/>
                <w:lang w:val="fr-CA"/>
              </w:rPr>
              <w:t>as)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5D3D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Lengua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746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Español</w:t>
            </w:r>
          </w:p>
        </w:tc>
      </w:tr>
      <w:tr w:rsidR="005456E1" w14:paraId="378ABF9A" w14:textId="77777777">
        <w:trPr>
          <w:trHeight w:val="70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491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lang w:val="fr-CA"/>
              </w:rPr>
              <w:t>Rango de invitación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D2E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lang w:val="fr-CA"/>
              </w:rPr>
              <w:t xml:space="preserve">Funcionarios de departamentos pertinentes de </w:t>
            </w:r>
            <w:r>
              <w:rPr>
                <w:rFonts w:hint="eastAsia"/>
                <w:lang w:val="fr-CA"/>
              </w:rPr>
              <w:t>Chile</w:t>
            </w:r>
            <w:r>
              <w:rPr>
                <w:lang w:val="fr-CA"/>
              </w:rPr>
              <w:t xml:space="preserve"> (nivel </w:t>
            </w:r>
            <w:r>
              <w:rPr>
                <w:rFonts w:hint="eastAsia"/>
                <w:bCs/>
                <w:szCs w:val="21"/>
                <w:lang w:val="es-ES"/>
              </w:rPr>
              <w:t xml:space="preserve">de departamento </w:t>
            </w:r>
            <w:r>
              <w:rPr>
                <w:bCs/>
                <w:szCs w:val="21"/>
                <w:lang w:val="es-ES"/>
              </w:rPr>
              <w:t>y</w:t>
            </w:r>
            <w:r>
              <w:rPr>
                <w:rFonts w:hint="eastAsia"/>
                <w:bCs/>
                <w:szCs w:val="21"/>
                <w:lang w:val="es-ES"/>
              </w:rPr>
              <w:t xml:space="preserve"> </w:t>
            </w:r>
            <w:r>
              <w:rPr>
                <w:lang w:val="fr-CA"/>
              </w:rPr>
              <w:t>divisi</w:t>
            </w:r>
            <w:r>
              <w:rPr>
                <w:bCs/>
                <w:szCs w:val="21"/>
                <w:lang w:val="es-ES"/>
              </w:rPr>
              <w:t>ón</w:t>
            </w:r>
            <w:r>
              <w:rPr>
                <w:lang w:val="fr-CA"/>
              </w:rPr>
              <w:t>)</w:t>
            </w:r>
          </w:p>
        </w:tc>
      </w:tr>
      <w:tr w:rsidR="005456E1" w14:paraId="57C9761A" w14:textId="77777777">
        <w:tblPrEx>
          <w:tblBorders>
            <w:insideH w:val="outset" w:sz="6" w:space="0" w:color="auto"/>
            <w:insideV w:val="outset" w:sz="6" w:space="0" w:color="auto"/>
          </w:tblBorders>
        </w:tblPrEx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7ED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szCs w:val="21"/>
                <w:lang w:val="fr-CA"/>
              </w:rPr>
              <w:t>Número de participantes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A225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 xml:space="preserve">20 </w:t>
            </w:r>
            <w:r>
              <w:rPr>
                <w:bCs/>
                <w:szCs w:val="21"/>
              </w:rPr>
              <w:t>personas</w:t>
            </w:r>
          </w:p>
        </w:tc>
      </w:tr>
      <w:tr w:rsidR="005456E1" w14:paraId="5FA24718" w14:textId="77777777">
        <w:trPr>
          <w:trHeight w:hRule="exact" w:val="1006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74CE" w14:textId="77777777" w:rsidR="005456E1" w:rsidRDefault="00DA0A44">
            <w:pPr>
              <w:spacing w:line="28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Re</w:t>
            </w:r>
            <w:r>
              <w:rPr>
                <w:bCs/>
                <w:szCs w:val="21"/>
                <w:lang w:val="fr-CA"/>
              </w:rPr>
              <w:t xml:space="preserve">quisitos </w:t>
            </w:r>
            <w:r>
              <w:rPr>
                <w:lang w:val="es-ES"/>
              </w:rPr>
              <w:t>para participantes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1AC" w14:textId="77777777" w:rsidR="005456E1" w:rsidRDefault="00DA0A44">
            <w:pPr>
              <w:spacing w:line="28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501" w14:textId="77777777" w:rsidR="005456E1" w:rsidRDefault="00DA0A44">
            <w:pPr>
              <w:rPr>
                <w:szCs w:val="21"/>
                <w:lang w:val="es-ES"/>
              </w:rPr>
            </w:pPr>
            <w:r>
              <w:rPr>
                <w:bCs/>
                <w:szCs w:val="21"/>
                <w:lang w:val="es-ES"/>
              </w:rPr>
              <w:t>La edad del personal a nivel de director general no tiene más de 50 años; la edad del personal a nivel de departamento no tiene más de 45 años.</w:t>
            </w:r>
          </w:p>
        </w:tc>
      </w:tr>
      <w:tr w:rsidR="005456E1" w14:paraId="5339A1E7" w14:textId="77777777">
        <w:trPr>
          <w:trHeight w:val="1935"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5969" w14:textId="77777777" w:rsidR="005456E1" w:rsidRDefault="005456E1">
            <w:pPr>
              <w:spacing w:line="280" w:lineRule="exact"/>
              <w:jc w:val="center"/>
              <w:rPr>
                <w:lang w:val="es-E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B45" w14:textId="77777777" w:rsidR="005456E1" w:rsidRDefault="00DA0A44">
            <w:pPr>
              <w:spacing w:line="28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Salud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721" w14:textId="77777777" w:rsidR="005456E1" w:rsidRDefault="00DA0A44">
            <w:pPr>
              <w:rPr>
                <w:szCs w:val="21"/>
                <w:lang w:val="es-ES"/>
              </w:rPr>
            </w:pPr>
            <w:r>
              <w:rPr>
                <w:bCs/>
                <w:szCs w:val="21"/>
                <w:lang w:val="es-ES"/>
              </w:rPr>
              <w:t>Gozar de buena salud y proporcionar un certificado de salud o un formulario de examen físico emitido por un hospital público local, sin enfermedades prohibidas por las leyes y regulaciones chinas, sin presión arterial alta grave, enfermedades cardiovascula</w:t>
            </w:r>
            <w:r>
              <w:rPr>
                <w:bCs/>
                <w:szCs w:val="21"/>
                <w:lang w:val="es-ES"/>
              </w:rPr>
              <w:t>res y cerebrovasculares, diabetes y otras enfermedades crónicas graves, enfermedades mentales, o enfermedades infecciosas que pueden causar daños graves a la salud pública, no en el período de recuperación después de una cirugía mayor y el período de inici</w:t>
            </w:r>
            <w:r>
              <w:rPr>
                <w:bCs/>
                <w:szCs w:val="21"/>
                <w:lang w:val="es-ES"/>
              </w:rPr>
              <w:t>o agudo de la enfermedad, no en discapacidad física grave, no en el embarazo.</w:t>
            </w:r>
          </w:p>
        </w:tc>
      </w:tr>
      <w:tr w:rsidR="005456E1" w14:paraId="6326F8E4" w14:textId="77777777">
        <w:trPr>
          <w:trHeight w:hRule="exact" w:val="921"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2D1" w14:textId="77777777" w:rsidR="005456E1" w:rsidRDefault="005456E1">
            <w:pPr>
              <w:spacing w:line="280" w:lineRule="exact"/>
              <w:jc w:val="center"/>
              <w:rPr>
                <w:lang w:val="es-E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BE4" w14:textId="77777777" w:rsidR="005456E1" w:rsidRDefault="00DA0A44">
            <w:pPr>
              <w:spacing w:line="280" w:lineRule="exact"/>
              <w:jc w:val="center"/>
              <w:rPr>
                <w:bCs/>
                <w:szCs w:val="21"/>
                <w:lang w:val="es-ES"/>
              </w:rPr>
            </w:pPr>
            <w:r>
              <w:rPr>
                <w:bCs/>
                <w:szCs w:val="21"/>
                <w:lang w:val="es-ES"/>
              </w:rPr>
              <w:t>Habilidades lingüísticas de enseñanza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62D" w14:textId="77777777" w:rsidR="005456E1" w:rsidRDefault="00DA0A44">
            <w:pPr>
              <w:spacing w:line="280" w:lineRule="exact"/>
              <w:rPr>
                <w:szCs w:val="21"/>
                <w:lang w:val="es-ES"/>
              </w:rPr>
            </w:pPr>
            <w:r>
              <w:rPr>
                <w:bCs/>
                <w:szCs w:val="21"/>
                <w:lang w:val="es-ES"/>
              </w:rPr>
              <w:t>Las habilidades de escuchar, hablar, leer y escribir en español cumplen con los requisitos de enseñanza</w:t>
            </w:r>
          </w:p>
        </w:tc>
      </w:tr>
      <w:tr w:rsidR="005456E1" w14:paraId="27B00042" w14:textId="77777777">
        <w:trPr>
          <w:trHeight w:hRule="exact" w:val="567"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4FAD" w14:textId="77777777" w:rsidR="005456E1" w:rsidRDefault="005456E1">
            <w:pPr>
              <w:spacing w:line="280" w:lineRule="exact"/>
              <w:jc w:val="center"/>
              <w:rPr>
                <w:lang w:val="es-E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0836" w14:textId="77777777" w:rsidR="005456E1" w:rsidRDefault="00DA0A44">
            <w:pPr>
              <w:spacing w:line="28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Otros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A0E" w14:textId="77777777" w:rsidR="005456E1" w:rsidRDefault="00DA0A44">
            <w:pPr>
              <w:spacing w:line="280" w:lineRule="exact"/>
              <w:rPr>
                <w:szCs w:val="21"/>
                <w:lang w:val="es-ES"/>
              </w:rPr>
            </w:pPr>
            <w:r>
              <w:rPr>
                <w:bCs/>
                <w:szCs w:val="21"/>
                <w:lang w:val="es-ES"/>
              </w:rPr>
              <w:t xml:space="preserve">Está estrictamente </w:t>
            </w:r>
            <w:r>
              <w:rPr>
                <w:bCs/>
                <w:szCs w:val="21"/>
                <w:lang w:val="es-ES"/>
              </w:rPr>
              <w:t>prohibido traer a su cónyuge o familiares y amigos a China.</w:t>
            </w:r>
          </w:p>
        </w:tc>
      </w:tr>
      <w:tr w:rsidR="005456E1" w14:paraId="708123C9" w14:textId="77777777">
        <w:trPr>
          <w:trHeight w:hRule="exact" w:val="1331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471E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lang w:val="es-ES"/>
              </w:rPr>
              <w:t>Ubicación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352A" w14:textId="77777777" w:rsidR="005456E1" w:rsidRDefault="00DA0A4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BEIJING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14C4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bCs/>
                <w:szCs w:val="21"/>
                <w:lang w:val="es-ES"/>
              </w:rPr>
              <w:t>Condiciones climáticas en ubicación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314" w14:textId="77777777" w:rsidR="005456E1" w:rsidRDefault="00DA0A44">
            <w:pPr>
              <w:rPr>
                <w:bCs/>
                <w:szCs w:val="21"/>
                <w:lang w:val="es-ES"/>
              </w:rPr>
            </w:pPr>
            <w:r>
              <w:rPr>
                <w:rFonts w:hint="eastAsia"/>
                <w:bCs/>
                <w:szCs w:val="21"/>
                <w:lang w:val="es-ES"/>
              </w:rPr>
              <w:t xml:space="preserve">La temperatura media en Beijing en noviembre es de 1 ~13 </w:t>
            </w:r>
            <w:r>
              <w:rPr>
                <w:rFonts w:hint="eastAsia"/>
                <w:bCs/>
                <w:szCs w:val="21"/>
                <w:lang w:val="es-ES"/>
              </w:rPr>
              <w:t>℃</w:t>
            </w:r>
          </w:p>
          <w:p w14:paraId="0B65D83B" w14:textId="77777777" w:rsidR="005456E1" w:rsidRDefault="00DA0A44">
            <w:pPr>
              <w:rPr>
                <w:bCs/>
                <w:szCs w:val="21"/>
                <w:lang w:val="es-ES"/>
              </w:rPr>
            </w:pPr>
            <w:r>
              <w:rPr>
                <w:rFonts w:hint="eastAsia"/>
                <w:bCs/>
                <w:szCs w:val="21"/>
                <w:lang w:val="es-ES"/>
              </w:rPr>
              <w:t xml:space="preserve">Temperatura media de diciembre en Beijing -6~2 </w:t>
            </w:r>
            <w:r>
              <w:rPr>
                <w:rFonts w:hint="eastAsia"/>
                <w:bCs/>
                <w:szCs w:val="21"/>
                <w:lang w:val="es-ES"/>
              </w:rPr>
              <w:t>℃</w:t>
            </w:r>
          </w:p>
          <w:p w14:paraId="3C447FD4" w14:textId="77777777" w:rsidR="005456E1" w:rsidRDefault="005456E1">
            <w:pPr>
              <w:rPr>
                <w:bCs/>
                <w:szCs w:val="21"/>
                <w:lang w:val="es-ES"/>
              </w:rPr>
            </w:pPr>
          </w:p>
          <w:p w14:paraId="1354F27A" w14:textId="77777777" w:rsidR="005456E1" w:rsidRDefault="005456E1">
            <w:pPr>
              <w:rPr>
                <w:b/>
                <w:szCs w:val="21"/>
                <w:lang w:val="es-ES"/>
              </w:rPr>
            </w:pPr>
          </w:p>
        </w:tc>
      </w:tr>
      <w:tr w:rsidR="005456E1" w14:paraId="210CB1E4" w14:textId="77777777">
        <w:trPr>
          <w:trHeight w:hRule="exact" w:val="699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AD0B" w14:textId="77777777" w:rsidR="005456E1" w:rsidRDefault="00DA0A44">
            <w:pPr>
              <w:spacing w:line="28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Ciudad de Visita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C61" w14:textId="77777777" w:rsidR="005456E1" w:rsidRDefault="00DA0A44">
            <w:pPr>
              <w:jc w:val="center"/>
            </w:pPr>
            <w:r>
              <w:rPr>
                <w:bCs/>
                <w:szCs w:val="21"/>
                <w:lang w:val="es-ES"/>
              </w:rPr>
              <w:t xml:space="preserve">Estar </w:t>
            </w:r>
            <w:r>
              <w:rPr>
                <w:bCs/>
                <w:szCs w:val="21"/>
              </w:rPr>
              <w:t xml:space="preserve">por </w:t>
            </w:r>
            <w:r>
              <w:rPr>
                <w:lang w:val="es-ES"/>
              </w:rPr>
              <w:t>determina</w:t>
            </w:r>
            <w:r>
              <w:rPr>
                <w:bCs/>
                <w:szCs w:val="21"/>
              </w:rPr>
              <w:t>r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7AB" w14:textId="77777777" w:rsidR="005456E1" w:rsidRDefault="00DA0A44">
            <w:pPr>
              <w:spacing w:line="280" w:lineRule="exact"/>
              <w:jc w:val="center"/>
              <w:rPr>
                <w:szCs w:val="21"/>
                <w:lang w:val="es-ES"/>
              </w:rPr>
            </w:pPr>
            <w:r>
              <w:rPr>
                <w:bCs/>
                <w:szCs w:val="21"/>
                <w:lang w:val="es-ES"/>
              </w:rPr>
              <w:t>Condiciones climáticas en ciudad de visita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EC6" w14:textId="77777777" w:rsidR="005456E1" w:rsidRDefault="00DA0A44">
            <w:pPr>
              <w:ind w:firstLineChars="700" w:firstLine="1470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5456E1" w14:paraId="067DF5A5" w14:textId="77777777" w:rsidTr="0055593A">
        <w:trPr>
          <w:trHeight w:hRule="exact" w:val="33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5D4D" w14:textId="77777777" w:rsidR="005456E1" w:rsidRDefault="00DA0A44">
            <w:pPr>
              <w:spacing w:line="28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Notas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35E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5456E1" w14:paraId="0441E926" w14:textId="77777777">
        <w:trPr>
          <w:trHeight w:hRule="exact" w:val="587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9F51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Contacto del Organizador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2688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Contacto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3AB" w14:textId="77777777" w:rsidR="005456E1" w:rsidRDefault="00DA0A44">
            <w:pPr>
              <w:spacing w:before="100" w:beforeAutospacing="1" w:after="100" w:afterAutospacing="1" w:line="420" w:lineRule="exact"/>
              <w:jc w:val="left"/>
              <w:rPr>
                <w:szCs w:val="21"/>
              </w:rPr>
            </w:pPr>
            <w:r>
              <w:rPr>
                <w:bCs/>
                <w:szCs w:val="21"/>
              </w:rPr>
              <w:t>Sr. Zheng Mingyuan</w:t>
            </w:r>
          </w:p>
        </w:tc>
      </w:tr>
      <w:tr w:rsidR="005456E1" w14:paraId="3279086D" w14:textId="77777777">
        <w:trPr>
          <w:trHeight w:hRule="exact" w:val="581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CFC8" w14:textId="77777777" w:rsidR="005456E1" w:rsidRDefault="005456E1">
            <w:pPr>
              <w:spacing w:line="280" w:lineRule="exact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7CE1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T</w:t>
            </w:r>
            <w:r>
              <w:rPr>
                <w:lang w:val="es-ES"/>
              </w:rPr>
              <w:t>eléfono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7B82" w14:textId="77777777" w:rsidR="005456E1" w:rsidRDefault="00DA0A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0086-10-69759898-6835</w:t>
            </w:r>
          </w:p>
        </w:tc>
      </w:tr>
      <w:tr w:rsidR="005456E1" w14:paraId="4000513C" w14:textId="77777777">
        <w:trPr>
          <w:trHeight w:hRule="exact" w:val="567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50C6" w14:textId="77777777" w:rsidR="005456E1" w:rsidRDefault="005456E1">
            <w:pPr>
              <w:spacing w:line="280" w:lineRule="exact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9C0" w14:textId="77777777" w:rsidR="005456E1" w:rsidRDefault="00DA0A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M</w:t>
            </w:r>
            <w:r>
              <w:rPr>
                <w:lang w:val="es-ES"/>
              </w:rPr>
              <w:t>óvil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F803" w14:textId="77777777" w:rsidR="005456E1" w:rsidRDefault="00DA0A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0086-15811092551</w:t>
            </w:r>
          </w:p>
        </w:tc>
      </w:tr>
      <w:tr w:rsidR="005456E1" w14:paraId="2DF7D98D" w14:textId="77777777">
        <w:trPr>
          <w:trHeight w:hRule="exact" w:val="567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560F" w14:textId="77777777" w:rsidR="005456E1" w:rsidRDefault="005456E1">
            <w:pPr>
              <w:spacing w:line="280" w:lineRule="exact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A1D3" w14:textId="77777777" w:rsidR="005456E1" w:rsidRDefault="00DA0A44">
            <w:pPr>
              <w:spacing w:line="280" w:lineRule="exact"/>
              <w:ind w:leftChars="-51" w:rightChars="-51" w:right="-107" w:hangingChars="51" w:hanging="107"/>
              <w:jc w:val="center"/>
              <w:rPr>
                <w:lang w:val="es-ES"/>
              </w:rPr>
            </w:pPr>
            <w:r>
              <w:rPr>
                <w:lang w:val="es-ES"/>
              </w:rPr>
              <w:t>Fax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E5CD" w14:textId="77777777" w:rsidR="005456E1" w:rsidRDefault="00DA0A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0086-10-80127881</w:t>
            </w:r>
          </w:p>
        </w:tc>
      </w:tr>
      <w:tr w:rsidR="005456E1" w14:paraId="4450C7FD" w14:textId="77777777">
        <w:trPr>
          <w:trHeight w:hRule="exact" w:val="567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B5C8" w14:textId="77777777" w:rsidR="005456E1" w:rsidRDefault="005456E1">
            <w:pPr>
              <w:spacing w:line="280" w:lineRule="exact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7F6" w14:textId="77777777" w:rsidR="005456E1" w:rsidRDefault="00DA0A44">
            <w:pPr>
              <w:spacing w:line="280" w:lineRule="exact"/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AF89" w14:textId="77777777" w:rsidR="005456E1" w:rsidRDefault="00DA0A4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zxyc@china-aibo.cn</w:t>
            </w:r>
          </w:p>
        </w:tc>
      </w:tr>
      <w:tr w:rsidR="005456E1" w14:paraId="56757BD7" w14:textId="77777777">
        <w:trPr>
          <w:trHeight w:hRule="exact" w:val="714"/>
          <w:jc w:val="center"/>
        </w:trPr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A569" w14:textId="77777777" w:rsidR="005456E1" w:rsidRDefault="005456E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816C" w14:textId="77777777" w:rsidR="005456E1" w:rsidRDefault="00DA0A44">
            <w:pPr>
              <w:spacing w:line="280" w:lineRule="exact"/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szCs w:val="21"/>
              </w:rPr>
              <w:t>Dirección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495E" w14:textId="77777777" w:rsidR="005456E1" w:rsidRDefault="00DA0A44">
            <w:pPr>
              <w:jc w:val="left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>La Academia para</w:t>
            </w:r>
            <w:r>
              <w:rPr>
                <w:szCs w:val="21"/>
                <w:lang w:val="es-ES"/>
              </w:rPr>
              <w:t xml:space="preserve"> Funcionarios de Comercio Internacional del Ministro de Comercio, Calle Aibo, Distrito de Changping, Beijing</w:t>
            </w:r>
          </w:p>
        </w:tc>
      </w:tr>
      <w:tr w:rsidR="005456E1" w14:paraId="23E933D1" w14:textId="77777777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B3B" w14:textId="77777777" w:rsidR="005456E1" w:rsidRDefault="00DA0A4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Cerca del</w:t>
            </w:r>
            <w:r>
              <w:rPr>
                <w:szCs w:val="21"/>
              </w:rPr>
              <w:t xml:space="preserve"> Organizador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10C2" w14:textId="77777777" w:rsidR="005456E1" w:rsidRDefault="00DA0A44">
            <w:pPr>
              <w:spacing w:line="276" w:lineRule="auto"/>
              <w:ind w:firstLineChars="200" w:firstLine="420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>La Academia para Funcionarios de Comercio Internacional (AIBO por sus siglas en inglés) es una institución de educación y ca</w:t>
            </w:r>
            <w:r>
              <w:rPr>
                <w:szCs w:val="21"/>
                <w:lang w:val="es-ES"/>
              </w:rPr>
              <w:t>pacitación que depende directamente del Ministerio de Comercio de la República Popular China. Creada en 1980, AIBO está situada en el distrito de Changping, Beijing, a unos 30 kilómetros del Aeropuerto Internacional de Capital Beijing, y cuenta con una com</w:t>
            </w:r>
            <w:r>
              <w:rPr>
                <w:szCs w:val="21"/>
                <w:lang w:val="es-ES"/>
              </w:rPr>
              <w:t>pleta infraestructura de servicios de alojamiento, comida, formación y conferencias para los capacitados.</w:t>
            </w:r>
          </w:p>
          <w:p w14:paraId="4791F228" w14:textId="77777777" w:rsidR="005456E1" w:rsidRDefault="00DA0A44">
            <w:pPr>
              <w:spacing w:line="276" w:lineRule="auto"/>
              <w:ind w:firstLineChars="200" w:firstLine="420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>Una de las principales responsabilidades de la AIBO es llevar a cabo programas cooperativos para el desarrollo de recursos humanos, principalmente con</w:t>
            </w:r>
            <w:r>
              <w:rPr>
                <w:szCs w:val="21"/>
                <w:lang w:val="es-ES"/>
              </w:rPr>
              <w:t xml:space="preserve"> seminarios de capacitación para funcionarios, y es la sede matriz de la capacitación en ayuda exterior de China, que incluye cursos en China y cursos en línea o en el extranjero.</w:t>
            </w:r>
          </w:p>
          <w:p w14:paraId="4C7C1127" w14:textId="77777777" w:rsidR="005456E1" w:rsidRDefault="00DA0A44">
            <w:pPr>
              <w:spacing w:line="276" w:lineRule="auto"/>
              <w:ind w:firstLineChars="200" w:firstLine="420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 xml:space="preserve">AIBO se apoya en el Ministerio de Comercio y colabora estrechamente con los </w:t>
            </w:r>
            <w:r>
              <w:rPr>
                <w:szCs w:val="21"/>
                <w:lang w:val="es-ES"/>
              </w:rPr>
              <w:t xml:space="preserve">principales think tanks, institutos de investigación y universidades chinos, reuniendo a un gran número de expertos y académicos chinos de alto nivel para proporcionar apoyo intelectual a la capacitación en ayuda exterior, lo que ha dado lugar a una serie </w:t>
            </w:r>
            <w:r>
              <w:rPr>
                <w:szCs w:val="21"/>
                <w:lang w:val="es-ES"/>
              </w:rPr>
              <w:t>de programas de capacitación en ayuda exterior de alta calidad y buenos resultados en áreas como el comercio y la inversión, la cooperación económica internacional, la gobernanza y la administración pública.</w:t>
            </w:r>
          </w:p>
          <w:p w14:paraId="2A140234" w14:textId="77777777" w:rsidR="005456E1" w:rsidRDefault="00DA0A44">
            <w:pPr>
              <w:spacing w:line="276" w:lineRule="auto"/>
              <w:ind w:firstLineChars="200" w:firstLine="420"/>
              <w:rPr>
                <w:szCs w:val="21"/>
                <w:lang w:val="es-ES"/>
              </w:rPr>
            </w:pPr>
            <w:bookmarkStart w:id="5" w:name="OLE_LINK1"/>
            <w:r>
              <w:rPr>
                <w:szCs w:val="21"/>
                <w:lang w:val="es-ES"/>
              </w:rPr>
              <w:t xml:space="preserve">Desde 1998, la AIBO ha organizado con éxito más </w:t>
            </w:r>
            <w:r>
              <w:rPr>
                <w:szCs w:val="21"/>
                <w:lang w:val="es-ES"/>
              </w:rPr>
              <w:t>de 2500 seminarios para funcionarios de países en vías de desarrollo (incluidos 137 seminarios ministeriales) y ha capacitado a casi 75000 participantes de otros países en desarrollo de todo el mundo.</w:t>
            </w:r>
          </w:p>
          <w:bookmarkEnd w:id="5"/>
          <w:p w14:paraId="6721CD67" w14:textId="77777777" w:rsidR="005456E1" w:rsidRDefault="00DA0A44">
            <w:pPr>
              <w:spacing w:line="276" w:lineRule="auto"/>
              <w:ind w:firstLineChars="200" w:firstLine="420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>Guiada por el pensamiento de Xi Jinping sobre el Social</w:t>
            </w:r>
            <w:r>
              <w:rPr>
                <w:szCs w:val="21"/>
                <w:lang w:val="es-ES"/>
              </w:rPr>
              <w:t>ismo con Características Chinas para una Nueva Era, AIBO toma los importantes conceptos como la Comunidad del Destino Humano, valor correcto de bienes, la veracidad, sinceridad y tolerancia como su estrategia y directriz fundamental, promueve la implementa</w:t>
            </w:r>
            <w:r>
              <w:rPr>
                <w:szCs w:val="21"/>
                <w:lang w:val="es-ES"/>
              </w:rPr>
              <w:t>ción de las iniciativas importantes como "la Franja y la Ruta", el desarrollo global entre otras, y ayuda continuamente a los países en desarrollo a acelerar sus progresos compartiéndoles experiencias y propuestas chinas.</w:t>
            </w:r>
          </w:p>
        </w:tc>
      </w:tr>
      <w:tr w:rsidR="005456E1" w14:paraId="01436296" w14:textId="77777777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15D" w14:textId="77777777" w:rsidR="005456E1" w:rsidRDefault="00DA0A44">
            <w:pPr>
              <w:spacing w:line="276" w:lineRule="auto"/>
              <w:jc w:val="center"/>
              <w:rPr>
                <w:bCs/>
                <w:szCs w:val="21"/>
                <w:lang w:val="es-ES"/>
              </w:rPr>
            </w:pPr>
            <w:r>
              <w:rPr>
                <w:kern w:val="10"/>
                <w:szCs w:val="21"/>
                <w:lang w:val="es-ES"/>
              </w:rPr>
              <w:t>In</w:t>
            </w:r>
            <w:r>
              <w:rPr>
                <w:kern w:val="10"/>
                <w:lang w:val="fr-CA"/>
              </w:rPr>
              <w:t>troducción al proyecto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C5F" w14:textId="77777777" w:rsidR="005456E1" w:rsidRDefault="00DA0A44">
            <w:pPr>
              <w:spacing w:line="400" w:lineRule="exact"/>
              <w:ind w:firstLineChars="200" w:firstLine="422"/>
              <w:rPr>
                <w:szCs w:val="21"/>
                <w:lang w:val="es-ES"/>
              </w:rPr>
            </w:pPr>
            <w:r>
              <w:rPr>
                <w:rFonts w:eastAsia="Times New Roman"/>
                <w:b/>
                <w:bCs/>
                <w:szCs w:val="21"/>
                <w:lang w:val="es-ES"/>
              </w:rPr>
              <w:t>Antecede</w:t>
            </w:r>
            <w:r>
              <w:rPr>
                <w:rFonts w:eastAsia="Times New Roman"/>
                <w:b/>
                <w:bCs/>
                <w:szCs w:val="21"/>
                <w:lang w:val="es-ES"/>
              </w:rPr>
              <w:t>nte</w:t>
            </w:r>
            <w:r>
              <w:rPr>
                <w:rFonts w:hint="eastAsia"/>
                <w:b/>
                <w:bCs/>
                <w:szCs w:val="21"/>
              </w:rPr>
              <w:t>s</w:t>
            </w:r>
            <w:r>
              <w:rPr>
                <w:rFonts w:eastAsia="Times New Roman"/>
                <w:b/>
                <w:bCs/>
                <w:szCs w:val="21"/>
                <w:lang w:val="es-ES"/>
              </w:rPr>
              <w:t xml:space="preserve">: </w:t>
            </w:r>
            <w:r>
              <w:rPr>
                <w:szCs w:val="21"/>
                <w:lang w:val="es-ES"/>
              </w:rPr>
              <w:t>Chile es el primer pa</w:t>
            </w:r>
            <w:r>
              <w:rPr>
                <w:rFonts w:hint="eastAsia"/>
                <w:szCs w:val="21"/>
                <w:lang w:val="es-ES"/>
              </w:rPr>
              <w:t>í</w:t>
            </w:r>
            <w:r>
              <w:rPr>
                <w:szCs w:val="21"/>
                <w:lang w:val="es-ES"/>
              </w:rPr>
              <w:t>s de Am</w:t>
            </w:r>
            <w:r>
              <w:rPr>
                <w:rFonts w:hint="eastAsia"/>
                <w:szCs w:val="21"/>
                <w:lang w:val="es-ES"/>
              </w:rPr>
              <w:t>é</w:t>
            </w:r>
            <w:r>
              <w:rPr>
                <w:szCs w:val="21"/>
                <w:lang w:val="es-ES"/>
              </w:rPr>
              <w:t>rica del Sur en establecer relaciones diplom</w:t>
            </w:r>
            <w:r>
              <w:rPr>
                <w:rFonts w:hint="eastAsia"/>
                <w:szCs w:val="21"/>
                <w:lang w:val="es-ES"/>
              </w:rPr>
              <w:t>á</w:t>
            </w:r>
            <w:r>
              <w:rPr>
                <w:szCs w:val="21"/>
                <w:lang w:val="es-ES"/>
              </w:rPr>
              <w:t>ticas con China. Las relaciones entre los dos pa</w:t>
            </w:r>
            <w:r>
              <w:rPr>
                <w:rFonts w:hint="eastAsia"/>
                <w:szCs w:val="21"/>
                <w:lang w:val="es-ES"/>
              </w:rPr>
              <w:t>í</w:t>
            </w:r>
            <w:r>
              <w:rPr>
                <w:szCs w:val="21"/>
                <w:lang w:val="es-ES"/>
              </w:rPr>
              <w:t>ses se desarrollan sin contratiempos, con frecuentes intercambios de alto nivel y una sólida cooperaci</w:t>
            </w:r>
            <w:r>
              <w:rPr>
                <w:rFonts w:hint="eastAsia"/>
                <w:szCs w:val="21"/>
                <w:lang w:val="es-ES"/>
              </w:rPr>
              <w:t>ó</w:t>
            </w:r>
            <w:r>
              <w:rPr>
                <w:szCs w:val="21"/>
                <w:lang w:val="es-ES"/>
              </w:rPr>
              <w:t xml:space="preserve">n en el </w:t>
            </w:r>
            <w:r>
              <w:rPr>
                <w:rFonts w:hint="eastAsia"/>
                <w:szCs w:val="21"/>
                <w:lang w:val="es-ES"/>
              </w:rPr>
              <w:t>á</w:t>
            </w:r>
            <w:r>
              <w:rPr>
                <w:szCs w:val="21"/>
                <w:lang w:val="es-ES"/>
              </w:rPr>
              <w:t>mbito multilat</w:t>
            </w:r>
            <w:r>
              <w:rPr>
                <w:szCs w:val="21"/>
                <w:lang w:val="es-ES"/>
              </w:rPr>
              <w:t>eral internacional, como un buen progreso en la cooperaci</w:t>
            </w:r>
            <w:r>
              <w:rPr>
                <w:rFonts w:hint="eastAsia"/>
                <w:szCs w:val="21"/>
                <w:lang w:val="es-ES"/>
              </w:rPr>
              <w:t>ó</w:t>
            </w:r>
            <w:r>
              <w:rPr>
                <w:szCs w:val="21"/>
                <w:lang w:val="es-ES"/>
              </w:rPr>
              <w:t>n econ</w:t>
            </w:r>
            <w:r>
              <w:rPr>
                <w:rFonts w:hint="eastAsia"/>
                <w:szCs w:val="21"/>
                <w:lang w:val="es-ES"/>
              </w:rPr>
              <w:t>ó</w:t>
            </w:r>
            <w:r>
              <w:rPr>
                <w:szCs w:val="21"/>
                <w:lang w:val="es-ES"/>
              </w:rPr>
              <w:t>mica y comercial.</w:t>
            </w:r>
          </w:p>
          <w:p w14:paraId="2B327051" w14:textId="77777777" w:rsidR="005456E1" w:rsidRDefault="00DA0A44">
            <w:pPr>
              <w:spacing w:line="400" w:lineRule="exact"/>
              <w:ind w:firstLineChars="200" w:firstLine="420"/>
              <w:rPr>
                <w:szCs w:val="21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El análisis de datos, como habilidad fundamental en la era de la información, cobra una importancia cada vez mayor en la sociedad moderna. Tanto en la toma de decisiones </w:t>
            </w:r>
            <w:r>
              <w:rPr>
                <w:rFonts w:eastAsia="Times New Roman"/>
                <w:lang w:val="es-ES"/>
              </w:rPr>
              <w:t xml:space="preserve">empresariales, optimización de operaciones, previsión de tendencias del mercado como en la gobernanza </w:t>
            </w:r>
            <w:r>
              <w:rPr>
                <w:rFonts w:eastAsia="Times New Roman"/>
                <w:lang w:val="es-ES"/>
              </w:rPr>
              <w:lastRenderedPageBreak/>
              <w:t>gubernamental, el análisis de datos desempeña un papel irreemplazable.</w:t>
            </w:r>
          </w:p>
          <w:p w14:paraId="353B184B" w14:textId="77777777" w:rsidR="005456E1" w:rsidRDefault="00DA0A44">
            <w:pPr>
              <w:spacing w:line="340" w:lineRule="exact"/>
              <w:ind w:firstLineChars="200" w:firstLine="422"/>
              <w:rPr>
                <w:szCs w:val="32"/>
                <w:lang w:val="es-ES"/>
              </w:rPr>
            </w:pPr>
            <w:r>
              <w:rPr>
                <w:rFonts w:eastAsia="Times New Roman"/>
                <w:b/>
                <w:bCs/>
                <w:szCs w:val="21"/>
                <w:lang w:val="es-ES"/>
              </w:rPr>
              <w:t xml:space="preserve">Objetivos: </w:t>
            </w:r>
            <w:r>
              <w:rPr>
                <w:rFonts w:eastAsia="Times New Roman"/>
                <w:lang w:val="es-ES"/>
              </w:rPr>
              <w:t>Establecer una plataforma de intercambio y cooperación en análisis de da</w:t>
            </w:r>
            <w:r>
              <w:rPr>
                <w:rFonts w:eastAsia="Times New Roman"/>
                <w:lang w:val="es-ES"/>
              </w:rPr>
              <w:t>tos, compartir las experiencias de desarrollo del análisis de datos de China, fortalecer conjuntamente el desarrollo de</w:t>
            </w:r>
            <w:r>
              <w:rPr>
                <w:rFonts w:eastAsiaTheme="minorEastAsia" w:hint="eastAsia"/>
                <w:lang w:val="es-ES"/>
              </w:rPr>
              <w:t xml:space="preserve"> </w:t>
            </w:r>
            <w:r>
              <w:rPr>
                <w:rFonts w:eastAsia="Times New Roman"/>
                <w:lang w:val="es-ES"/>
              </w:rPr>
              <w:t>capacidades, cultivar talentos digitales, promover la modernización del sistema de gobernanza estatal y de las capacidades de gobernanza</w:t>
            </w:r>
            <w:r>
              <w:rPr>
                <w:rFonts w:eastAsia="Times New Roman"/>
                <w:lang w:val="es-ES"/>
              </w:rPr>
              <w:t>, impulsar la expansión continua de la cooperación pragmática.</w:t>
            </w:r>
          </w:p>
          <w:p w14:paraId="13FC9704" w14:textId="77777777" w:rsidR="005456E1" w:rsidRDefault="00DA0A44">
            <w:pPr>
              <w:spacing w:line="400" w:lineRule="exact"/>
              <w:ind w:firstLineChars="200" w:firstLine="422"/>
              <w:rPr>
                <w:lang w:val="es-ES"/>
              </w:rPr>
            </w:pPr>
            <w:r>
              <w:rPr>
                <w:rFonts w:eastAsia="Times New Roman"/>
                <w:b/>
                <w:bCs/>
                <w:lang w:val="es-ES"/>
              </w:rPr>
              <w:t xml:space="preserve">Contenido: </w:t>
            </w:r>
            <w:r>
              <w:rPr>
                <w:rFonts w:eastAsia="Times New Roman"/>
                <w:lang w:val="es-ES"/>
              </w:rPr>
              <w:t xml:space="preserve">Temas del seminario incluirán: Condiciones nacionales de China y modernización al estilo chino, ideas de los líderes chinos sobre cómo gobernar el país, Iniciativa de la Franja y la </w:t>
            </w:r>
            <w:r>
              <w:rPr>
                <w:rFonts w:eastAsia="Times New Roman"/>
                <w:lang w:val="es-ES"/>
              </w:rPr>
              <w:t xml:space="preserve">Ruta y sus medidas de implementación, </w:t>
            </w:r>
            <w:r>
              <w:rPr>
                <w:lang w:val="es-ES"/>
              </w:rPr>
              <w:t>c</w:t>
            </w:r>
            <w:r>
              <w:rPr>
                <w:rFonts w:eastAsia="Times New Roman"/>
                <w:lang w:val="es-ES"/>
              </w:rPr>
              <w:t>onceptos, teorías y métodos de análisis de datos, situación actual del desarrollo de la industria de big data, big data y modernización de gobernanza gubernamental, ética y seguridad de los datos, innovación en servic</w:t>
            </w:r>
            <w:r>
              <w:rPr>
                <w:rFonts w:eastAsia="Times New Roman"/>
                <w:lang w:val="es-ES"/>
              </w:rPr>
              <w:t xml:space="preserve">ios financieros mediante big data e IA en el contexto de la economía digital, seguridad de la información en la era de IA, etc. </w:t>
            </w:r>
          </w:p>
          <w:p w14:paraId="3B1CB27E" w14:textId="77777777" w:rsidR="005456E1" w:rsidRDefault="00DA0A44">
            <w:pPr>
              <w:adjustRightInd w:val="0"/>
              <w:snapToGrid w:val="0"/>
              <w:spacing w:line="360" w:lineRule="auto"/>
              <w:ind w:firstLineChars="200" w:firstLine="422"/>
              <w:rPr>
                <w:szCs w:val="21"/>
                <w:lang w:val="es-ES"/>
              </w:rPr>
            </w:pPr>
            <w:r>
              <w:rPr>
                <w:b/>
                <w:bCs/>
                <w:szCs w:val="21"/>
                <w:lang w:val="es-ES"/>
              </w:rPr>
              <w:t>Formas:</w:t>
            </w:r>
            <w:r>
              <w:rPr>
                <w:szCs w:val="21"/>
                <w:lang w:val="es-ES"/>
              </w:rPr>
              <w:t xml:space="preserve"> </w:t>
            </w:r>
            <w:bookmarkStart w:id="6" w:name="OLE_LINK3"/>
            <w:r>
              <w:rPr>
                <w:szCs w:val="21"/>
                <w:lang w:val="es-ES"/>
              </w:rPr>
              <w:t xml:space="preserve">Invitar a expertos chinos de sectores </w:t>
            </w:r>
            <w:bookmarkStart w:id="7" w:name="OLE_LINK2"/>
            <w:r>
              <w:rPr>
                <w:szCs w:val="21"/>
                <w:lang w:val="es-ES"/>
              </w:rPr>
              <w:t>relacionados para dar conferencias</w:t>
            </w:r>
            <w:bookmarkEnd w:id="7"/>
            <w:r>
              <w:rPr>
                <w:szCs w:val="21"/>
                <w:lang w:val="es-ES"/>
              </w:rPr>
              <w:t xml:space="preserve">; </w:t>
            </w:r>
            <w:bookmarkEnd w:id="6"/>
            <w:r>
              <w:rPr>
                <w:szCs w:val="21"/>
                <w:lang w:val="es-ES"/>
              </w:rPr>
              <w:t>organizar debates e intercambios entre partic</w:t>
            </w:r>
            <w:r>
              <w:rPr>
                <w:szCs w:val="21"/>
                <w:lang w:val="es-ES"/>
              </w:rPr>
              <w:t>ipantes y expertos, así como entre participantes; organizar visitas a instituciones y empresas relevantes en Beijing y otras ciudades para realizar visitas e intercambios in situ.</w:t>
            </w:r>
          </w:p>
          <w:p w14:paraId="7F16A74E" w14:textId="77777777" w:rsidR="005456E1" w:rsidRDefault="00DA0A44">
            <w:pPr>
              <w:adjustRightInd w:val="0"/>
              <w:snapToGrid w:val="0"/>
              <w:spacing w:line="360" w:lineRule="auto"/>
              <w:ind w:firstLineChars="200" w:firstLine="420"/>
              <w:rPr>
                <w:szCs w:val="21"/>
                <w:lang w:val="es-ES"/>
              </w:rPr>
            </w:pPr>
            <w:r>
              <w:rPr>
                <w:szCs w:val="21"/>
                <w:lang w:val="es-ES"/>
              </w:rPr>
              <w:t xml:space="preserve">(Este es el programa preliminar, la versión final se le proporcionará a su </w:t>
            </w:r>
            <w:r>
              <w:rPr>
                <w:szCs w:val="21"/>
                <w:lang w:val="es-ES"/>
              </w:rPr>
              <w:t>llegada a China.)</w:t>
            </w:r>
          </w:p>
        </w:tc>
      </w:tr>
      <w:tr w:rsidR="005456E1" w14:paraId="6BEB093C" w14:textId="77777777" w:rsidTr="0055593A">
        <w:trPr>
          <w:trHeight w:val="41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68D" w14:textId="77777777" w:rsidR="005456E1" w:rsidRDefault="00DA0A44">
            <w:pPr>
              <w:spacing w:line="276" w:lineRule="auto"/>
              <w:rPr>
                <w:kern w:val="10"/>
                <w:szCs w:val="21"/>
                <w:lang w:val="fr-CA"/>
              </w:rPr>
            </w:pPr>
            <w:r>
              <w:rPr>
                <w:kern w:val="10"/>
                <w:szCs w:val="21"/>
                <w:lang w:val="fr-CA"/>
              </w:rPr>
              <w:lastRenderedPageBreak/>
              <w:t>Precauciones</w:t>
            </w:r>
          </w:p>
          <w:p w14:paraId="7C4E53F6" w14:textId="77777777" w:rsidR="005456E1" w:rsidRDefault="005456E1">
            <w:pPr>
              <w:spacing w:line="276" w:lineRule="auto"/>
              <w:rPr>
                <w:szCs w:val="21"/>
              </w:rPr>
            </w:pPr>
          </w:p>
        </w:tc>
        <w:tc>
          <w:tcPr>
            <w:tcW w:w="85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062" w14:textId="77777777" w:rsidR="005456E1" w:rsidRDefault="00DA0A44">
            <w:pPr>
              <w:spacing w:line="276" w:lineRule="auto"/>
              <w:ind w:firstLineChars="200" w:firstLine="420"/>
              <w:rPr>
                <w:kern w:val="10"/>
                <w:lang w:val="fr-CA"/>
              </w:rPr>
            </w:pPr>
            <w:r>
              <w:rPr>
                <w:kern w:val="10"/>
                <w:lang w:val="fr-CA"/>
              </w:rPr>
              <w:t xml:space="preserve">1. Prepare su pasaporte, visa china y visa de país de tránsito de terceros (si es necesario) antes de venir a China. </w:t>
            </w:r>
          </w:p>
          <w:p w14:paraId="0178D083" w14:textId="77777777" w:rsidR="005456E1" w:rsidRDefault="00DA0A44">
            <w:pPr>
              <w:spacing w:line="276" w:lineRule="auto"/>
              <w:ind w:firstLineChars="200" w:firstLine="420"/>
              <w:rPr>
                <w:kern w:val="10"/>
                <w:lang w:val="fr-CA"/>
              </w:rPr>
            </w:pPr>
            <w:r>
              <w:rPr>
                <w:kern w:val="10"/>
                <w:lang w:val="fr-CA"/>
              </w:rPr>
              <w:t>2. Si no puede salir a tiempo debido a circunstancias especiales, o si su vuelo se retrasa cuando realiza</w:t>
            </w:r>
            <w:r>
              <w:rPr>
                <w:kern w:val="10"/>
                <w:lang w:val="fr-CA"/>
              </w:rPr>
              <w:t xml:space="preserve"> la transferencia, comuníquese con la Oficina Económica y Comercial </w:t>
            </w:r>
            <w:r>
              <w:rPr>
                <w:rFonts w:hint="eastAsia"/>
                <w:kern w:val="10"/>
                <w:szCs w:val="21"/>
                <w:lang w:val="es-ES"/>
              </w:rPr>
              <w:t>de la Embajada de China</w:t>
            </w:r>
            <w:r>
              <w:rPr>
                <w:kern w:val="10"/>
                <w:lang w:val="fr-CA"/>
              </w:rPr>
              <w:t xml:space="preserve"> a tiempo para informar el último vuelo de llegada y la hora en Beijing, para organizar una recogida.</w:t>
            </w:r>
          </w:p>
          <w:p w14:paraId="1A393457" w14:textId="77777777" w:rsidR="005456E1" w:rsidRDefault="00DA0A44">
            <w:pPr>
              <w:spacing w:line="276" w:lineRule="auto"/>
              <w:ind w:firstLineChars="200" w:firstLine="420"/>
              <w:rPr>
                <w:kern w:val="10"/>
                <w:lang w:val="fr-CA"/>
              </w:rPr>
            </w:pPr>
            <w:r>
              <w:rPr>
                <w:kern w:val="10"/>
                <w:lang w:val="fr-CA"/>
              </w:rPr>
              <w:t>3. En principio, las personas físicas no pueden cambiar el bill</w:t>
            </w:r>
            <w:r>
              <w:rPr>
                <w:kern w:val="10"/>
                <w:lang w:val="fr-CA"/>
              </w:rPr>
              <w:t xml:space="preserve">ete de avión a China, si es necesario, póngase en contacto con la Oficina Económica y Comercial </w:t>
            </w:r>
            <w:r>
              <w:rPr>
                <w:rFonts w:hint="eastAsia"/>
                <w:kern w:val="10"/>
                <w:szCs w:val="21"/>
                <w:lang w:val="es-ES"/>
              </w:rPr>
              <w:t xml:space="preserve">de la Embajada de China </w:t>
            </w:r>
            <w:r>
              <w:rPr>
                <w:kern w:val="10"/>
                <w:lang w:val="fr-CA"/>
              </w:rPr>
              <w:t>para realizar los trámites de cambio de billete. Si cambias el billete sin consentimiento, comunicarás la situación a la Oficina Económi</w:t>
            </w:r>
            <w:r>
              <w:rPr>
                <w:kern w:val="10"/>
                <w:lang w:val="fr-CA"/>
              </w:rPr>
              <w:t>ca y Comercial, y serás responsable de los gastos y responsabilidades que de ello se deriven.</w:t>
            </w:r>
          </w:p>
          <w:p w14:paraId="2A0379EF" w14:textId="77777777" w:rsidR="005456E1" w:rsidRDefault="00DA0A44">
            <w:pPr>
              <w:spacing w:line="276" w:lineRule="auto"/>
              <w:ind w:firstLineChars="200" w:firstLine="420"/>
              <w:rPr>
                <w:kern w:val="10"/>
                <w:lang w:val="fr-CA"/>
              </w:rPr>
            </w:pPr>
            <w:r>
              <w:rPr>
                <w:kern w:val="10"/>
                <w:lang w:val="fr-CA"/>
              </w:rPr>
              <w:t>4. Después de que el vuelo aterrice y recoja su equipaje, espere pacientemente en la salida de llegadas internacionales (o salida de llegadas nacionales), el pers</w:t>
            </w:r>
            <w:r>
              <w:rPr>
                <w:kern w:val="10"/>
                <w:lang w:val="fr-CA"/>
              </w:rPr>
              <w:t>onal lo recogerá con una tarjeta de recogida con su nombre. Si espera más de 15 minutos, puede comunicarse con el contacto del proyecto por teléfono.</w:t>
            </w:r>
          </w:p>
          <w:p w14:paraId="334B48CE" w14:textId="77777777" w:rsidR="005456E1" w:rsidRDefault="00DA0A44">
            <w:pPr>
              <w:spacing w:line="276" w:lineRule="auto"/>
              <w:ind w:firstLineChars="200" w:firstLine="420"/>
              <w:rPr>
                <w:kern w:val="10"/>
                <w:lang w:val="fr-CA"/>
              </w:rPr>
            </w:pPr>
            <w:r>
              <w:rPr>
                <w:kern w:val="10"/>
                <w:lang w:val="fr-CA"/>
              </w:rPr>
              <w:t>5. Si necesita registrarse con la aerolínea en caso de pérdida de equipaje facturado, comuníquese con el c</w:t>
            </w:r>
            <w:r>
              <w:rPr>
                <w:kern w:val="10"/>
                <w:lang w:val="fr-CA"/>
              </w:rPr>
              <w:t xml:space="preserve">ontacto del proyecto por teléfono para confirmar dónde se entregará el equipaje antes de completar el formulario de registro. </w:t>
            </w:r>
          </w:p>
          <w:p w14:paraId="1D637099" w14:textId="77777777" w:rsidR="005456E1" w:rsidRDefault="00DA0A44">
            <w:pPr>
              <w:spacing w:line="276" w:lineRule="auto"/>
              <w:ind w:firstLineChars="200" w:firstLine="420"/>
              <w:rPr>
                <w:kern w:val="10"/>
                <w:lang w:val="es-ES"/>
              </w:rPr>
            </w:pPr>
            <w:r>
              <w:rPr>
                <w:kern w:val="10"/>
                <w:lang w:val="fr-CA"/>
              </w:rPr>
              <w:t xml:space="preserve">6. Código de vestimenta: Preste atención a las condiciones climáticas en el lugar donde se realiza el seminario y traiga la ropa </w:t>
            </w:r>
            <w:r>
              <w:rPr>
                <w:kern w:val="10"/>
                <w:lang w:val="fr-CA"/>
              </w:rPr>
              <w:t>correspondiente. Se requiere vestimenta formal para eventos importantes del seminario (la vestimenta étnica también es aceptable</w:t>
            </w:r>
            <w:r>
              <w:rPr>
                <w:kern w:val="10"/>
                <w:szCs w:val="21"/>
                <w:lang w:val="fr-CA"/>
              </w:rPr>
              <w:t>)</w:t>
            </w:r>
            <w:r>
              <w:rPr>
                <w:rFonts w:hint="eastAsia"/>
                <w:kern w:val="10"/>
                <w:szCs w:val="21"/>
                <w:lang w:val="es-ES"/>
              </w:rPr>
              <w:t>.</w:t>
            </w:r>
          </w:p>
        </w:tc>
      </w:tr>
    </w:tbl>
    <w:p w14:paraId="2197329F" w14:textId="77777777" w:rsidR="005456E1" w:rsidRDefault="005456E1" w:rsidP="0055593A">
      <w:pPr>
        <w:rPr>
          <w:sz w:val="36"/>
          <w:lang w:val="es-ES"/>
        </w:rPr>
      </w:pPr>
      <w:bookmarkStart w:id="8" w:name="_GoBack"/>
      <w:bookmarkEnd w:id="4"/>
      <w:bookmarkEnd w:id="8"/>
    </w:p>
    <w:sectPr w:rsidR="005456E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70314" w14:textId="77777777" w:rsidR="00DA0A44" w:rsidRDefault="00DA0A44">
      <w:r>
        <w:separator/>
      </w:r>
    </w:p>
  </w:endnote>
  <w:endnote w:type="continuationSeparator" w:id="0">
    <w:p w14:paraId="12A3B9A4" w14:textId="77777777" w:rsidR="00DA0A44" w:rsidRDefault="00D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泉驿微米黑">
    <w:altName w:val="黑体"/>
    <w:charset w:val="86"/>
    <w:family w:val="auto"/>
    <w:pitch w:val="default"/>
    <w:sig w:usb0="00000000" w:usb1="00000000" w:usb2="00800036" w:usb3="00000000" w:csb0="603E01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B7B94" w14:textId="77777777" w:rsidR="005456E1" w:rsidRDefault="00DA0A44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6CADD11C" w14:textId="77777777" w:rsidR="005456E1" w:rsidRDefault="005456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F0CD0" w14:textId="77777777" w:rsidR="005456E1" w:rsidRDefault="00DA0A44">
    <w:pPr>
      <w:pStyle w:val="a6"/>
      <w:framePr w:wrap="around" w:vAnchor="text" w:hAnchor="margin" w:xAlign="right" w:y="1"/>
      <w:rPr>
        <w:rStyle w:val="ab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55593A">
      <w:rPr>
        <w:noProof/>
        <w:sz w:val="21"/>
        <w:szCs w:val="21"/>
      </w:rPr>
      <w:t>5</w:t>
    </w:r>
    <w:r>
      <w:rPr>
        <w:sz w:val="21"/>
        <w:szCs w:val="21"/>
      </w:rPr>
      <w:fldChar w:fldCharType="end"/>
    </w:r>
  </w:p>
  <w:p w14:paraId="2B1877BD" w14:textId="77777777" w:rsidR="005456E1" w:rsidRDefault="005456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7C0BB" w14:textId="77777777" w:rsidR="00DA0A44" w:rsidRDefault="00DA0A44">
      <w:r>
        <w:separator/>
      </w:r>
    </w:p>
  </w:footnote>
  <w:footnote w:type="continuationSeparator" w:id="0">
    <w:p w14:paraId="660C5857" w14:textId="77777777" w:rsidR="00DA0A44" w:rsidRDefault="00DA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2338C"/>
    <w:multiLevelType w:val="multilevel"/>
    <w:tmpl w:val="27E2338C"/>
    <w:lvl w:ilvl="0">
      <w:start w:val="1"/>
      <w:numFmt w:val="decimal"/>
      <w:pStyle w:val="CharChar1"/>
      <w:lvlText w:val="%1a."/>
      <w:lvlJc w:val="left"/>
      <w:pPr>
        <w:tabs>
          <w:tab w:val="left" w:pos="425"/>
        </w:tabs>
        <w:ind w:left="425" w:hanging="425"/>
      </w:pPr>
      <w:rPr>
        <w:rFonts w:ascii="宋体" w:eastAsia="宋体" w:hint="eastAsia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TVhOTMzMzU4N2U0OTI5MTg5ZTFjZDQ4YWZiMzMifQ=="/>
  </w:docVars>
  <w:rsids>
    <w:rsidRoot w:val="00F76634"/>
    <w:rsid w:val="AEFA86C4"/>
    <w:rsid w:val="AFBA0641"/>
    <w:rsid w:val="BD432244"/>
    <w:rsid w:val="C35D9250"/>
    <w:rsid w:val="DB7F020D"/>
    <w:rsid w:val="FEBB138A"/>
    <w:rsid w:val="000032EF"/>
    <w:rsid w:val="000125E7"/>
    <w:rsid w:val="00020566"/>
    <w:rsid w:val="0002214D"/>
    <w:rsid w:val="00024134"/>
    <w:rsid w:val="0002784B"/>
    <w:rsid w:val="0003454B"/>
    <w:rsid w:val="00035B8A"/>
    <w:rsid w:val="0003767A"/>
    <w:rsid w:val="0004375E"/>
    <w:rsid w:val="000526D3"/>
    <w:rsid w:val="000672A6"/>
    <w:rsid w:val="000726B0"/>
    <w:rsid w:val="000739C9"/>
    <w:rsid w:val="00077037"/>
    <w:rsid w:val="00077D1A"/>
    <w:rsid w:val="000811B3"/>
    <w:rsid w:val="00081CC1"/>
    <w:rsid w:val="00084213"/>
    <w:rsid w:val="00095EEA"/>
    <w:rsid w:val="000A1E96"/>
    <w:rsid w:val="000A1F3B"/>
    <w:rsid w:val="000A398C"/>
    <w:rsid w:val="000B6D8F"/>
    <w:rsid w:val="000D3A7B"/>
    <w:rsid w:val="000E606D"/>
    <w:rsid w:val="000F0603"/>
    <w:rsid w:val="00105002"/>
    <w:rsid w:val="00113D0A"/>
    <w:rsid w:val="001213D5"/>
    <w:rsid w:val="00135BA3"/>
    <w:rsid w:val="0015349C"/>
    <w:rsid w:val="00153BD3"/>
    <w:rsid w:val="00157BCF"/>
    <w:rsid w:val="00157C4D"/>
    <w:rsid w:val="0016274B"/>
    <w:rsid w:val="001655D3"/>
    <w:rsid w:val="00173BBD"/>
    <w:rsid w:val="001901D6"/>
    <w:rsid w:val="001918DB"/>
    <w:rsid w:val="00193E8D"/>
    <w:rsid w:val="001A3993"/>
    <w:rsid w:val="001B4B32"/>
    <w:rsid w:val="001B7E51"/>
    <w:rsid w:val="001C156D"/>
    <w:rsid w:val="001C484D"/>
    <w:rsid w:val="001C7807"/>
    <w:rsid w:val="001D2E53"/>
    <w:rsid w:val="001D5FEB"/>
    <w:rsid w:val="001F2705"/>
    <w:rsid w:val="001F3B26"/>
    <w:rsid w:val="001F4E21"/>
    <w:rsid w:val="001F702B"/>
    <w:rsid w:val="001F74D0"/>
    <w:rsid w:val="00216C58"/>
    <w:rsid w:val="00217077"/>
    <w:rsid w:val="00227D3F"/>
    <w:rsid w:val="002333E6"/>
    <w:rsid w:val="00237AF5"/>
    <w:rsid w:val="00244432"/>
    <w:rsid w:val="00255C03"/>
    <w:rsid w:val="00261F16"/>
    <w:rsid w:val="00267DCF"/>
    <w:rsid w:val="00270375"/>
    <w:rsid w:val="00273F21"/>
    <w:rsid w:val="00275530"/>
    <w:rsid w:val="00281211"/>
    <w:rsid w:val="00287DC5"/>
    <w:rsid w:val="002A39D2"/>
    <w:rsid w:val="002A7725"/>
    <w:rsid w:val="002B13EE"/>
    <w:rsid w:val="002C18A7"/>
    <w:rsid w:val="002C537C"/>
    <w:rsid w:val="002D47B7"/>
    <w:rsid w:val="002D6843"/>
    <w:rsid w:val="002D6D4E"/>
    <w:rsid w:val="002D7E6C"/>
    <w:rsid w:val="002E3175"/>
    <w:rsid w:val="002E4654"/>
    <w:rsid w:val="002F138B"/>
    <w:rsid w:val="002F794A"/>
    <w:rsid w:val="00307FD1"/>
    <w:rsid w:val="00320A37"/>
    <w:rsid w:val="0032285C"/>
    <w:rsid w:val="0034645B"/>
    <w:rsid w:val="00350518"/>
    <w:rsid w:val="00365C27"/>
    <w:rsid w:val="0037011E"/>
    <w:rsid w:val="0037105B"/>
    <w:rsid w:val="00373A41"/>
    <w:rsid w:val="003920DE"/>
    <w:rsid w:val="0039402D"/>
    <w:rsid w:val="003967C4"/>
    <w:rsid w:val="00396A55"/>
    <w:rsid w:val="003A0C63"/>
    <w:rsid w:val="003B4106"/>
    <w:rsid w:val="003B5913"/>
    <w:rsid w:val="003D4AC9"/>
    <w:rsid w:val="003E2603"/>
    <w:rsid w:val="003E79FD"/>
    <w:rsid w:val="003F7C32"/>
    <w:rsid w:val="00401015"/>
    <w:rsid w:val="004022D1"/>
    <w:rsid w:val="004039BA"/>
    <w:rsid w:val="0041203D"/>
    <w:rsid w:val="004259FD"/>
    <w:rsid w:val="004303C5"/>
    <w:rsid w:val="004434ED"/>
    <w:rsid w:val="004443FD"/>
    <w:rsid w:val="004467DC"/>
    <w:rsid w:val="004531FC"/>
    <w:rsid w:val="00464A67"/>
    <w:rsid w:val="0047170C"/>
    <w:rsid w:val="00471917"/>
    <w:rsid w:val="004722DE"/>
    <w:rsid w:val="00474B1B"/>
    <w:rsid w:val="00482E03"/>
    <w:rsid w:val="004847A2"/>
    <w:rsid w:val="00495421"/>
    <w:rsid w:val="00497BD4"/>
    <w:rsid w:val="004C2BC0"/>
    <w:rsid w:val="004D3E5A"/>
    <w:rsid w:val="004D50E2"/>
    <w:rsid w:val="004D5E62"/>
    <w:rsid w:val="004D6F9F"/>
    <w:rsid w:val="004E08D4"/>
    <w:rsid w:val="004F17FA"/>
    <w:rsid w:val="0050298E"/>
    <w:rsid w:val="00522CAE"/>
    <w:rsid w:val="00524916"/>
    <w:rsid w:val="005456E1"/>
    <w:rsid w:val="0055593A"/>
    <w:rsid w:val="005605D3"/>
    <w:rsid w:val="005762D0"/>
    <w:rsid w:val="005819F7"/>
    <w:rsid w:val="0059314A"/>
    <w:rsid w:val="0059439B"/>
    <w:rsid w:val="00594583"/>
    <w:rsid w:val="005961D2"/>
    <w:rsid w:val="005A261C"/>
    <w:rsid w:val="005A27FC"/>
    <w:rsid w:val="005A554E"/>
    <w:rsid w:val="005B083F"/>
    <w:rsid w:val="005B0C33"/>
    <w:rsid w:val="005C0CD7"/>
    <w:rsid w:val="005C1789"/>
    <w:rsid w:val="005D42AD"/>
    <w:rsid w:val="005D5978"/>
    <w:rsid w:val="005D5B06"/>
    <w:rsid w:val="005E7795"/>
    <w:rsid w:val="00617EA5"/>
    <w:rsid w:val="00634697"/>
    <w:rsid w:val="006362A1"/>
    <w:rsid w:val="006406D5"/>
    <w:rsid w:val="006470CC"/>
    <w:rsid w:val="00666807"/>
    <w:rsid w:val="006807B0"/>
    <w:rsid w:val="006814F6"/>
    <w:rsid w:val="00682BA9"/>
    <w:rsid w:val="006A665B"/>
    <w:rsid w:val="006B21D2"/>
    <w:rsid w:val="006D5448"/>
    <w:rsid w:val="006E10E4"/>
    <w:rsid w:val="006E1F49"/>
    <w:rsid w:val="006F6248"/>
    <w:rsid w:val="006F6751"/>
    <w:rsid w:val="006F6921"/>
    <w:rsid w:val="006F7E9C"/>
    <w:rsid w:val="00702243"/>
    <w:rsid w:val="00712A48"/>
    <w:rsid w:val="00715D0D"/>
    <w:rsid w:val="00717D26"/>
    <w:rsid w:val="00722A20"/>
    <w:rsid w:val="00723999"/>
    <w:rsid w:val="00723C59"/>
    <w:rsid w:val="00737A8E"/>
    <w:rsid w:val="00740E5D"/>
    <w:rsid w:val="00750EA5"/>
    <w:rsid w:val="00762DE4"/>
    <w:rsid w:val="00770755"/>
    <w:rsid w:val="0078508E"/>
    <w:rsid w:val="00790B5F"/>
    <w:rsid w:val="007A199A"/>
    <w:rsid w:val="007B64D6"/>
    <w:rsid w:val="007D3E7E"/>
    <w:rsid w:val="007E08C5"/>
    <w:rsid w:val="007E2E60"/>
    <w:rsid w:val="007F6355"/>
    <w:rsid w:val="007F7D92"/>
    <w:rsid w:val="00800C9B"/>
    <w:rsid w:val="008036BB"/>
    <w:rsid w:val="00803875"/>
    <w:rsid w:val="00810C3A"/>
    <w:rsid w:val="00812C37"/>
    <w:rsid w:val="00812E1C"/>
    <w:rsid w:val="008278BB"/>
    <w:rsid w:val="00832730"/>
    <w:rsid w:val="008360E8"/>
    <w:rsid w:val="00842193"/>
    <w:rsid w:val="0084295D"/>
    <w:rsid w:val="00846F40"/>
    <w:rsid w:val="00854B21"/>
    <w:rsid w:val="00863140"/>
    <w:rsid w:val="00871F77"/>
    <w:rsid w:val="008778D5"/>
    <w:rsid w:val="00881372"/>
    <w:rsid w:val="00884A3D"/>
    <w:rsid w:val="0089019A"/>
    <w:rsid w:val="00894865"/>
    <w:rsid w:val="008A752F"/>
    <w:rsid w:val="008B6813"/>
    <w:rsid w:val="008D4743"/>
    <w:rsid w:val="008E2806"/>
    <w:rsid w:val="008E58D1"/>
    <w:rsid w:val="008F2D96"/>
    <w:rsid w:val="008F2EF4"/>
    <w:rsid w:val="008F5854"/>
    <w:rsid w:val="009003C3"/>
    <w:rsid w:val="00903145"/>
    <w:rsid w:val="0090699F"/>
    <w:rsid w:val="00906B9E"/>
    <w:rsid w:val="00915813"/>
    <w:rsid w:val="0091707D"/>
    <w:rsid w:val="009232CB"/>
    <w:rsid w:val="009243C2"/>
    <w:rsid w:val="009429FD"/>
    <w:rsid w:val="00955840"/>
    <w:rsid w:val="00961FC8"/>
    <w:rsid w:val="00963DF5"/>
    <w:rsid w:val="00970274"/>
    <w:rsid w:val="00990CEB"/>
    <w:rsid w:val="0099375F"/>
    <w:rsid w:val="00997576"/>
    <w:rsid w:val="009A383E"/>
    <w:rsid w:val="009A38DA"/>
    <w:rsid w:val="009A5206"/>
    <w:rsid w:val="009D3EC2"/>
    <w:rsid w:val="009F2559"/>
    <w:rsid w:val="00A010FE"/>
    <w:rsid w:val="00A03721"/>
    <w:rsid w:val="00A06622"/>
    <w:rsid w:val="00A10F07"/>
    <w:rsid w:val="00A11EA4"/>
    <w:rsid w:val="00A17BF4"/>
    <w:rsid w:val="00A2567A"/>
    <w:rsid w:val="00A462BD"/>
    <w:rsid w:val="00A62406"/>
    <w:rsid w:val="00A715C1"/>
    <w:rsid w:val="00A72046"/>
    <w:rsid w:val="00A72C93"/>
    <w:rsid w:val="00A74024"/>
    <w:rsid w:val="00A75B10"/>
    <w:rsid w:val="00A90641"/>
    <w:rsid w:val="00A912C8"/>
    <w:rsid w:val="00A91D9F"/>
    <w:rsid w:val="00A92299"/>
    <w:rsid w:val="00A940A9"/>
    <w:rsid w:val="00AB1D3B"/>
    <w:rsid w:val="00AD080E"/>
    <w:rsid w:val="00AD136C"/>
    <w:rsid w:val="00AD6744"/>
    <w:rsid w:val="00AE06E1"/>
    <w:rsid w:val="00AF4587"/>
    <w:rsid w:val="00AF483A"/>
    <w:rsid w:val="00B028BF"/>
    <w:rsid w:val="00B054E8"/>
    <w:rsid w:val="00B065B0"/>
    <w:rsid w:val="00B121BC"/>
    <w:rsid w:val="00B17231"/>
    <w:rsid w:val="00B308D4"/>
    <w:rsid w:val="00B3417B"/>
    <w:rsid w:val="00B35769"/>
    <w:rsid w:val="00B3671B"/>
    <w:rsid w:val="00B42E10"/>
    <w:rsid w:val="00B4574E"/>
    <w:rsid w:val="00B45A51"/>
    <w:rsid w:val="00B579F5"/>
    <w:rsid w:val="00B758D3"/>
    <w:rsid w:val="00B86EEC"/>
    <w:rsid w:val="00B9270A"/>
    <w:rsid w:val="00BA4F3F"/>
    <w:rsid w:val="00BA696F"/>
    <w:rsid w:val="00BB615C"/>
    <w:rsid w:val="00BC6859"/>
    <w:rsid w:val="00BD44F2"/>
    <w:rsid w:val="00BD53BB"/>
    <w:rsid w:val="00BE0363"/>
    <w:rsid w:val="00BE080A"/>
    <w:rsid w:val="00BE5A2F"/>
    <w:rsid w:val="00BE649C"/>
    <w:rsid w:val="00C152D6"/>
    <w:rsid w:val="00C15FD4"/>
    <w:rsid w:val="00C20357"/>
    <w:rsid w:val="00C23BDE"/>
    <w:rsid w:val="00C26E43"/>
    <w:rsid w:val="00C300DC"/>
    <w:rsid w:val="00C31B98"/>
    <w:rsid w:val="00C31FEB"/>
    <w:rsid w:val="00C32482"/>
    <w:rsid w:val="00C35F24"/>
    <w:rsid w:val="00C45076"/>
    <w:rsid w:val="00C67140"/>
    <w:rsid w:val="00C820D7"/>
    <w:rsid w:val="00C8550E"/>
    <w:rsid w:val="00C90BDD"/>
    <w:rsid w:val="00C91183"/>
    <w:rsid w:val="00C91BA9"/>
    <w:rsid w:val="00C941B5"/>
    <w:rsid w:val="00CA1D75"/>
    <w:rsid w:val="00CB20BF"/>
    <w:rsid w:val="00CB5640"/>
    <w:rsid w:val="00CC28A9"/>
    <w:rsid w:val="00CD18EB"/>
    <w:rsid w:val="00CD3CD2"/>
    <w:rsid w:val="00CD5AC9"/>
    <w:rsid w:val="00CE317B"/>
    <w:rsid w:val="00CF5039"/>
    <w:rsid w:val="00D02AC0"/>
    <w:rsid w:val="00D130F8"/>
    <w:rsid w:val="00D13D28"/>
    <w:rsid w:val="00D226A8"/>
    <w:rsid w:val="00D239A7"/>
    <w:rsid w:val="00D301D1"/>
    <w:rsid w:val="00D314EC"/>
    <w:rsid w:val="00D33E4B"/>
    <w:rsid w:val="00D40873"/>
    <w:rsid w:val="00D528B7"/>
    <w:rsid w:val="00D54AB2"/>
    <w:rsid w:val="00D71708"/>
    <w:rsid w:val="00D85E79"/>
    <w:rsid w:val="00D85FA4"/>
    <w:rsid w:val="00D87CDA"/>
    <w:rsid w:val="00D91324"/>
    <w:rsid w:val="00D91A57"/>
    <w:rsid w:val="00D94CAB"/>
    <w:rsid w:val="00D95E77"/>
    <w:rsid w:val="00D9674A"/>
    <w:rsid w:val="00DA0A44"/>
    <w:rsid w:val="00DA3780"/>
    <w:rsid w:val="00DA65A8"/>
    <w:rsid w:val="00DB33E6"/>
    <w:rsid w:val="00DB400C"/>
    <w:rsid w:val="00DC3F24"/>
    <w:rsid w:val="00DD032F"/>
    <w:rsid w:val="00DD1ABF"/>
    <w:rsid w:val="00DD35B6"/>
    <w:rsid w:val="00DD3634"/>
    <w:rsid w:val="00DD4D05"/>
    <w:rsid w:val="00DD69B9"/>
    <w:rsid w:val="00DE60BF"/>
    <w:rsid w:val="00DF479F"/>
    <w:rsid w:val="00E040C6"/>
    <w:rsid w:val="00E12BD1"/>
    <w:rsid w:val="00E24A81"/>
    <w:rsid w:val="00E476D3"/>
    <w:rsid w:val="00E5060F"/>
    <w:rsid w:val="00E76A93"/>
    <w:rsid w:val="00E81DC8"/>
    <w:rsid w:val="00E82418"/>
    <w:rsid w:val="00E83B82"/>
    <w:rsid w:val="00E912CD"/>
    <w:rsid w:val="00EA2366"/>
    <w:rsid w:val="00EB7390"/>
    <w:rsid w:val="00EC02C3"/>
    <w:rsid w:val="00EC103F"/>
    <w:rsid w:val="00EE3AA8"/>
    <w:rsid w:val="00EF240D"/>
    <w:rsid w:val="00EF34F6"/>
    <w:rsid w:val="00F06788"/>
    <w:rsid w:val="00F17F3B"/>
    <w:rsid w:val="00F2395F"/>
    <w:rsid w:val="00F3566F"/>
    <w:rsid w:val="00F512F2"/>
    <w:rsid w:val="00F56A98"/>
    <w:rsid w:val="00F67660"/>
    <w:rsid w:val="00F718B6"/>
    <w:rsid w:val="00F719D1"/>
    <w:rsid w:val="00F731DE"/>
    <w:rsid w:val="00F76634"/>
    <w:rsid w:val="00F805BE"/>
    <w:rsid w:val="00F87684"/>
    <w:rsid w:val="00FA1E0D"/>
    <w:rsid w:val="00FC329F"/>
    <w:rsid w:val="00FC4A8C"/>
    <w:rsid w:val="00FC4C63"/>
    <w:rsid w:val="00FD4D22"/>
    <w:rsid w:val="00FD674C"/>
    <w:rsid w:val="00FE17DA"/>
    <w:rsid w:val="00FE775B"/>
    <w:rsid w:val="05892B82"/>
    <w:rsid w:val="06056497"/>
    <w:rsid w:val="091F7ED9"/>
    <w:rsid w:val="0A256191"/>
    <w:rsid w:val="0A311BD4"/>
    <w:rsid w:val="0BD25EA5"/>
    <w:rsid w:val="0F140158"/>
    <w:rsid w:val="123D38A3"/>
    <w:rsid w:val="13070B2A"/>
    <w:rsid w:val="149B074F"/>
    <w:rsid w:val="151B6B0E"/>
    <w:rsid w:val="17B9568E"/>
    <w:rsid w:val="17FB775F"/>
    <w:rsid w:val="18197C50"/>
    <w:rsid w:val="1D90796E"/>
    <w:rsid w:val="1E214EF8"/>
    <w:rsid w:val="1E5F4D93"/>
    <w:rsid w:val="21930511"/>
    <w:rsid w:val="21C10A3D"/>
    <w:rsid w:val="21CD2F3E"/>
    <w:rsid w:val="22432F4E"/>
    <w:rsid w:val="235059FB"/>
    <w:rsid w:val="249B5576"/>
    <w:rsid w:val="265A320F"/>
    <w:rsid w:val="26F316DB"/>
    <w:rsid w:val="291A1E78"/>
    <w:rsid w:val="2A0B0AA8"/>
    <w:rsid w:val="2C2C6ADA"/>
    <w:rsid w:val="2D67693D"/>
    <w:rsid w:val="330F3FF7"/>
    <w:rsid w:val="335A0E7C"/>
    <w:rsid w:val="345A28BF"/>
    <w:rsid w:val="35E825E5"/>
    <w:rsid w:val="365C7872"/>
    <w:rsid w:val="37492C0F"/>
    <w:rsid w:val="3991089E"/>
    <w:rsid w:val="39A16D33"/>
    <w:rsid w:val="3AAA7E69"/>
    <w:rsid w:val="3BE2722E"/>
    <w:rsid w:val="3BE850ED"/>
    <w:rsid w:val="3D567A39"/>
    <w:rsid w:val="3DC06C03"/>
    <w:rsid w:val="3E5A38FA"/>
    <w:rsid w:val="3EC7548D"/>
    <w:rsid w:val="3FAF1A7E"/>
    <w:rsid w:val="40DD1F0C"/>
    <w:rsid w:val="417B7450"/>
    <w:rsid w:val="42DD6B1C"/>
    <w:rsid w:val="43610BB5"/>
    <w:rsid w:val="441D0A7F"/>
    <w:rsid w:val="4738457D"/>
    <w:rsid w:val="49DA5528"/>
    <w:rsid w:val="4A2C0DD4"/>
    <w:rsid w:val="4A353517"/>
    <w:rsid w:val="4B257098"/>
    <w:rsid w:val="4B9A7A86"/>
    <w:rsid w:val="4DAE2A16"/>
    <w:rsid w:val="4F32467E"/>
    <w:rsid w:val="4F3F38B6"/>
    <w:rsid w:val="50E30644"/>
    <w:rsid w:val="51464272"/>
    <w:rsid w:val="517A38B3"/>
    <w:rsid w:val="51A90A23"/>
    <w:rsid w:val="532F64D3"/>
    <w:rsid w:val="53EA3AEC"/>
    <w:rsid w:val="57910667"/>
    <w:rsid w:val="57B77820"/>
    <w:rsid w:val="5838665C"/>
    <w:rsid w:val="5ACE32A8"/>
    <w:rsid w:val="5B2C622E"/>
    <w:rsid w:val="5B653A98"/>
    <w:rsid w:val="5D137698"/>
    <w:rsid w:val="5FED0EED"/>
    <w:rsid w:val="62D81E64"/>
    <w:rsid w:val="63475A0F"/>
    <w:rsid w:val="63F06662"/>
    <w:rsid w:val="64911E38"/>
    <w:rsid w:val="657F3B1C"/>
    <w:rsid w:val="688D02FE"/>
    <w:rsid w:val="69DC0A99"/>
    <w:rsid w:val="6CCF0902"/>
    <w:rsid w:val="6D6B3711"/>
    <w:rsid w:val="6E9A3775"/>
    <w:rsid w:val="6FA347F1"/>
    <w:rsid w:val="72B66E2A"/>
    <w:rsid w:val="74E34478"/>
    <w:rsid w:val="774F10FC"/>
    <w:rsid w:val="77E17BBB"/>
    <w:rsid w:val="78380F8C"/>
    <w:rsid w:val="79E15807"/>
    <w:rsid w:val="7A5275FA"/>
    <w:rsid w:val="7AA078E8"/>
    <w:rsid w:val="7ACA3634"/>
    <w:rsid w:val="7B9652C4"/>
    <w:rsid w:val="7C7FF4F5"/>
    <w:rsid w:val="7C832803"/>
    <w:rsid w:val="7FA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37761-26D7-4DEF-A6F0-95308E8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link w:val="Char0"/>
    <w:qFormat/>
    <w:pPr>
      <w:ind w:firstLineChars="200" w:firstLine="560"/>
    </w:pPr>
    <w:rPr>
      <w:kern w:val="10"/>
      <w:sz w:val="28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黑体"/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character" w:styleId="aa">
    <w:name w:val="Strong"/>
    <w:qFormat/>
    <w:rPr>
      <w:b/>
      <w:bCs/>
    </w:rPr>
  </w:style>
  <w:style w:type="character" w:styleId="ab">
    <w:name w:val="page number"/>
    <w:qFormat/>
    <w:rPr>
      <w:rFonts w:eastAsia="黑体"/>
      <w:kern w:val="2"/>
      <w:sz w:val="32"/>
      <w:szCs w:val="32"/>
      <w:lang w:val="en-US" w:eastAsia="zh-CN" w:bidi="ar-SA"/>
    </w:rPr>
  </w:style>
  <w:style w:type="character" w:styleId="ac">
    <w:name w:val="Emphasis"/>
    <w:uiPriority w:val="20"/>
    <w:qFormat/>
    <w:rPr>
      <w:rFonts w:eastAsia="黑体"/>
      <w:i/>
      <w:iCs/>
      <w:kern w:val="2"/>
      <w:sz w:val="32"/>
      <w:szCs w:val="32"/>
      <w:lang w:val="en-US" w:eastAsia="zh-CN" w:bidi="ar-SA"/>
    </w:rPr>
  </w:style>
  <w:style w:type="character" w:styleId="ad">
    <w:name w:val="Hyperlink"/>
    <w:qFormat/>
    <w:rPr>
      <w:rFonts w:eastAsia="黑体"/>
      <w:color w:val="0563C1"/>
      <w:kern w:val="2"/>
      <w:sz w:val="32"/>
      <w:szCs w:val="32"/>
      <w:u w:val="single"/>
      <w:lang w:val="en-US" w:eastAsia="zh-CN" w:bidi="ar-SA"/>
    </w:rPr>
  </w:style>
  <w:style w:type="character" w:styleId="ae">
    <w:name w:val="annotation reference"/>
    <w:qFormat/>
    <w:rPr>
      <w:rFonts w:eastAsia="黑体"/>
      <w:kern w:val="2"/>
      <w:sz w:val="21"/>
      <w:szCs w:val="21"/>
      <w:lang w:val="en-US" w:eastAsia="zh-CN" w:bidi="ar-SA"/>
    </w:rPr>
  </w:style>
  <w:style w:type="character" w:customStyle="1" w:styleId="Char0">
    <w:name w:val="正文文本缩进 Char"/>
    <w:link w:val="a4"/>
    <w:qFormat/>
    <w:rPr>
      <w:kern w:val="10"/>
      <w:sz w:val="28"/>
      <w:szCs w:val="24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character" w:customStyle="1" w:styleId="Char3">
    <w:name w:val="页眉 Char"/>
    <w:link w:val="a7"/>
    <w:qFormat/>
    <w:rPr>
      <w:rFonts w:eastAsia="黑体"/>
      <w:kern w:val="2"/>
      <w:sz w:val="18"/>
      <w:szCs w:val="18"/>
    </w:rPr>
  </w:style>
  <w:style w:type="character" w:customStyle="1" w:styleId="apple-converted-space">
    <w:name w:val="apple-converted-space"/>
    <w:qFormat/>
    <w:rPr>
      <w:lang w:val="en-US" w:eastAsia="zh-CN" w:bidi="ar-SA"/>
    </w:rPr>
  </w:style>
  <w:style w:type="paragraph" w:customStyle="1" w:styleId="CharChar1">
    <w:name w:val="Char Char1"/>
    <w:basedOn w:val="a"/>
    <w:next w:val="a"/>
    <w:qFormat/>
    <w:pPr>
      <w:pageBreakBefore/>
      <w:numPr>
        <w:numId w:val="1"/>
      </w:numPr>
      <w:tabs>
        <w:tab w:val="clear" w:pos="425"/>
        <w:tab w:val="left" w:pos="360"/>
      </w:tabs>
      <w:spacing w:line="400" w:lineRule="exact"/>
      <w:ind w:left="0" w:firstLine="0"/>
    </w:pPr>
    <w:rPr>
      <w:rFonts w:eastAsia="黑体"/>
      <w:sz w:val="32"/>
      <w:szCs w:val="32"/>
    </w:rPr>
  </w:style>
  <w:style w:type="paragraph" w:customStyle="1" w:styleId="10">
    <w:name w:val="1"/>
    <w:basedOn w:val="a"/>
    <w:next w:val="a"/>
    <w:qFormat/>
    <w:pPr>
      <w:pageBreakBefore/>
      <w:tabs>
        <w:tab w:val="left" w:pos="425"/>
      </w:tabs>
      <w:spacing w:line="400" w:lineRule="exact"/>
      <w:ind w:left="425" w:hanging="425"/>
    </w:pPr>
    <w:rPr>
      <w:rFonts w:eastAsia="黑体"/>
      <w:sz w:val="32"/>
      <w:szCs w:val="32"/>
    </w:rPr>
  </w:style>
  <w:style w:type="paragraph" w:customStyle="1" w:styleId="Char5">
    <w:name w:val="Char"/>
    <w:basedOn w:val="a"/>
    <w:next w:val="a"/>
    <w:qFormat/>
    <w:pPr>
      <w:pageBreakBefore/>
      <w:tabs>
        <w:tab w:val="left" w:pos="425"/>
      </w:tabs>
      <w:spacing w:line="400" w:lineRule="exact"/>
      <w:ind w:left="425" w:hanging="425"/>
    </w:pPr>
    <w:rPr>
      <w:rFonts w:eastAsia="黑体"/>
      <w:sz w:val="32"/>
      <w:szCs w:val="32"/>
    </w:rPr>
  </w:style>
  <w:style w:type="paragraph" w:customStyle="1" w:styleId="Style18">
    <w:name w:val="_Style 18"/>
    <w:uiPriority w:val="99"/>
    <w:unhideWhenUsed/>
    <w:qFormat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文泉驿微米黑" w:eastAsia="黑体" w:hAnsi="文泉驿微米黑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b/>
      <w:bCs/>
      <w:kern w:val="2"/>
      <w:sz w:val="21"/>
      <w:szCs w:val="24"/>
    </w:rPr>
  </w:style>
  <w:style w:type="paragraph" w:customStyle="1" w:styleId="11">
    <w:name w:val="修订1"/>
    <w:uiPriority w:val="99"/>
    <w:qFormat/>
    <w:rPr>
      <w:kern w:val="2"/>
      <w:sz w:val="21"/>
      <w:szCs w:val="24"/>
    </w:rPr>
  </w:style>
  <w:style w:type="character" w:customStyle="1" w:styleId="hps">
    <w:name w:val="hps"/>
    <w:qFormat/>
    <w:rPr>
      <w:lang w:val="en-US" w:eastAsia="zh-CN" w:bidi="ar-SA"/>
    </w:rPr>
  </w:style>
  <w:style w:type="character" w:customStyle="1" w:styleId="high-lighthigh-light-bg">
    <w:name w:val="high-light high-light-bg"/>
    <w:qFormat/>
    <w:rPr>
      <w:lang w:val="en-US" w:eastAsia="zh-CN" w:bidi="ar-SA"/>
    </w:rPr>
  </w:style>
  <w:style w:type="character" w:customStyle="1" w:styleId="high-light">
    <w:name w:val="high-light"/>
    <w:qFormat/>
    <w:rPr>
      <w:lang w:val="en-US" w:eastAsia="zh-CN" w:bidi="ar-SA"/>
    </w:rPr>
  </w:style>
  <w:style w:type="character" w:customStyle="1" w:styleId="shorttext">
    <w:name w:val="short_text"/>
    <w:qFormat/>
    <w:rPr>
      <w:lang w:val="en-US" w:eastAsia="zh-CN" w:bidi="ar-SA"/>
    </w:rPr>
  </w:style>
  <w:style w:type="paragraph" w:customStyle="1" w:styleId="tgt2">
    <w:name w:val="tgt2"/>
    <w:basedOn w:val="a"/>
    <w:qFormat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0">
    <w:name w:val="修订2"/>
    <w:qFormat/>
    <w:rPr>
      <w:kern w:val="2"/>
      <w:sz w:val="21"/>
      <w:szCs w:val="24"/>
    </w:rPr>
  </w:style>
  <w:style w:type="paragraph" w:customStyle="1" w:styleId="30">
    <w:name w:val="修订3"/>
    <w:hidden/>
    <w:uiPriority w:val="99"/>
    <w:unhideWhenUsed/>
    <w:qFormat/>
    <w:rPr>
      <w:kern w:val="2"/>
      <w:sz w:val="21"/>
      <w:szCs w:val="24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4">
    <w:name w:val="修订4"/>
    <w:hidden/>
    <w:uiPriority w:val="99"/>
    <w:unhideWhenUsed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1473</Words>
  <Characters>8400</Characters>
  <Application>Microsoft Office Word</Application>
  <DocSecurity>0</DocSecurity>
  <Lines>70</Lines>
  <Paragraphs>19</Paragraphs>
  <ScaleCrop>false</ScaleCrop>
  <Company>home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葡语国家贸易和投资便利化研修班</dc:title>
  <dc:creator>liwei</dc:creator>
  <cp:lastModifiedBy>admin</cp:lastModifiedBy>
  <cp:revision>14</cp:revision>
  <cp:lastPrinted>2024-03-06T18:49:00Z</cp:lastPrinted>
  <dcterms:created xsi:type="dcterms:W3CDTF">2025-05-22T06:17:00Z</dcterms:created>
  <dcterms:modified xsi:type="dcterms:W3CDTF">2025-07-30T07:26:00Z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39C0197689D643B0A6CBE81D9B104835_13</vt:lpwstr>
  </property>
  <property fmtid="{D5CDD505-2E9C-101B-9397-08002B2CF9AE}" pid="4" name="KSOTemplateDocerSaveRecord">
    <vt:lpwstr>eyJoZGlkIjoiMDg0NGE5ZTY3YTQxNjIzMTcxNmI3MDkyZDUzNTIxNTYiLCJ1c2VySWQiOiIxNDQzOTE5MDgxIn0=</vt:lpwstr>
  </property>
  <property fmtid="{D5CDD505-2E9C-101B-9397-08002B2CF9AE}" pid="5" name="GrammarlyDocumentId">
    <vt:lpwstr>582e9c33544a075f915687cca7259abf261a81d3c40a73b8e495c73008db9328</vt:lpwstr>
  </property>
</Properties>
</file>